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F92F8">
      <w:pPr>
        <w:widowControl/>
        <w:shd w:val="clear" w:color="auto" w:fill="FFFFFF"/>
        <w:jc w:val="center"/>
        <w:outlineLvl w:val="9"/>
        <w:rPr>
          <w:rFonts w:hint="eastAsia" w:ascii="宋体" w:hAnsi="宋体" w:eastAsia="宋体" w:cs="宋体"/>
          <w:b/>
          <w:bCs/>
          <w:color w:val="333333"/>
          <w:sz w:val="78"/>
          <w:szCs w:val="78"/>
          <w:shd w:val="clear" w:color="auto" w:fill="FFFFFF"/>
        </w:rPr>
      </w:pPr>
      <w:bookmarkStart w:id="0" w:name="_Toc8823"/>
    </w:p>
    <w:p w14:paraId="5460F9C1">
      <w:pPr>
        <w:widowControl/>
        <w:shd w:val="clear" w:color="auto" w:fill="FFFFFF"/>
        <w:jc w:val="center"/>
        <w:outlineLvl w:val="9"/>
        <w:rPr>
          <w:rFonts w:hint="eastAsia" w:ascii="宋体" w:hAnsi="宋体" w:eastAsia="宋体" w:cs="宋体"/>
          <w:b/>
          <w:bCs/>
          <w:color w:val="333333"/>
          <w:sz w:val="78"/>
          <w:szCs w:val="78"/>
          <w:shd w:val="clear"/>
        </w:rPr>
      </w:pPr>
    </w:p>
    <w:p w14:paraId="6205FB74">
      <w:pPr>
        <w:widowControl/>
        <w:shd w:val="clear" w:color="auto" w:fill="FFFFFF"/>
        <w:jc w:val="center"/>
        <w:outlineLvl w:val="9"/>
        <w:rPr>
          <w:rFonts w:hint="eastAsia" w:ascii="宋体" w:hAnsi="宋体" w:eastAsia="宋体" w:cs="宋体"/>
          <w:b/>
          <w:bCs/>
          <w:color w:val="333333"/>
          <w:sz w:val="78"/>
          <w:szCs w:val="78"/>
          <w:shd w:val="clear" w:color="auto" w:fill="auto"/>
          <w:lang w:eastAsia="zh-CN"/>
        </w:rPr>
      </w:pPr>
      <w:r>
        <w:rPr>
          <w:rFonts w:hint="eastAsia" w:ascii="宋体" w:hAnsi="宋体" w:eastAsia="宋体" w:cs="宋体"/>
          <w:b/>
          <w:bCs/>
          <w:color w:val="333333"/>
          <w:sz w:val="78"/>
          <w:szCs w:val="78"/>
          <w:shd w:val="clear" w:color="auto" w:fill="auto"/>
          <w:lang w:eastAsia="zh-CN"/>
        </w:rPr>
        <w:t>福建省厦门监狱</w:t>
      </w:r>
    </w:p>
    <w:p w14:paraId="2805EA1E">
      <w:pPr>
        <w:widowControl/>
        <w:shd w:val="clear" w:color="auto" w:fill="FFFFFF"/>
        <w:jc w:val="center"/>
        <w:outlineLvl w:val="9"/>
        <w:rPr>
          <w:rFonts w:hint="eastAsia" w:ascii="宋体" w:hAnsi="宋体" w:eastAsia="宋体" w:cs="宋体"/>
          <w:b/>
          <w:bCs/>
          <w:color w:val="333333"/>
          <w:sz w:val="78"/>
          <w:szCs w:val="78"/>
        </w:rPr>
      </w:pPr>
      <w:r>
        <w:rPr>
          <w:rFonts w:hint="eastAsia" w:ascii="宋体" w:hAnsi="宋体" w:eastAsia="宋体" w:cs="宋体"/>
          <w:b/>
          <w:bCs/>
          <w:color w:val="333333"/>
          <w:sz w:val="78"/>
          <w:szCs w:val="78"/>
          <w:shd w:val="clear" w:color="auto" w:fill="auto"/>
        </w:rPr>
        <w:t>公开招标文件</w:t>
      </w:r>
      <w:bookmarkEnd w:id="0"/>
    </w:p>
    <w:p w14:paraId="1EECF8B6">
      <w:pPr>
        <w:widowControl/>
        <w:jc w:val="center"/>
        <w:outlineLvl w:val="9"/>
        <w:rPr>
          <w:rFonts w:hint="eastAsia" w:ascii="宋体" w:hAnsi="宋体" w:eastAsia="宋体" w:cs="宋体"/>
          <w:b/>
          <w:bCs/>
          <w:sz w:val="28"/>
          <w:szCs w:val="28"/>
        </w:rPr>
      </w:pPr>
      <w:bookmarkStart w:id="1" w:name="_Toc10511"/>
      <w:r>
        <w:rPr>
          <w:rFonts w:hint="eastAsia" w:cs="宋体"/>
          <w:b/>
          <w:bCs/>
          <w:sz w:val="27"/>
          <w:szCs w:val="27"/>
          <w:lang w:val="en-US" w:eastAsia="zh-CN"/>
        </w:rPr>
        <w:t>(预公告稿）</w:t>
      </w:r>
    </w:p>
    <w:p w14:paraId="195944CD">
      <w:pPr>
        <w:widowControl/>
        <w:jc w:val="center"/>
        <w:outlineLvl w:val="9"/>
        <w:rPr>
          <w:rFonts w:hint="eastAsia" w:ascii="宋体" w:hAnsi="宋体" w:eastAsia="宋体" w:cs="宋体"/>
          <w:b/>
          <w:bCs/>
          <w:sz w:val="28"/>
          <w:szCs w:val="28"/>
        </w:rPr>
      </w:pPr>
    </w:p>
    <w:p w14:paraId="74392BAB">
      <w:pPr>
        <w:widowControl/>
        <w:jc w:val="center"/>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项目名称：</w:t>
      </w:r>
      <w:bookmarkEnd w:id="1"/>
      <w:r>
        <w:rPr>
          <w:rFonts w:hint="eastAsia" w:ascii="宋体" w:hAnsi="宋体" w:eastAsia="宋体" w:cs="宋体"/>
          <w:b/>
          <w:bCs/>
          <w:sz w:val="28"/>
          <w:szCs w:val="28"/>
          <w:lang w:eastAsia="zh-CN"/>
        </w:rPr>
        <w:t>福建省厦门监狱入监、出监积分学习集成系统采购项目</w:t>
      </w:r>
    </w:p>
    <w:p w14:paraId="40BC11A0">
      <w:pPr>
        <w:widowControl/>
        <w:jc w:val="center"/>
        <w:outlineLvl w:val="9"/>
        <w:rPr>
          <w:rFonts w:hint="eastAsia" w:ascii="宋体" w:hAnsi="宋体" w:eastAsia="宋体" w:cs="宋体"/>
          <w:b/>
          <w:bCs/>
          <w:sz w:val="28"/>
          <w:szCs w:val="28"/>
          <w:highlight w:val="none"/>
          <w:lang w:eastAsia="zh-CN"/>
        </w:rPr>
      </w:pPr>
      <w:bookmarkStart w:id="2" w:name="_Toc8111"/>
      <w:r>
        <w:rPr>
          <w:rFonts w:hint="eastAsia" w:ascii="宋体" w:hAnsi="宋体" w:eastAsia="宋体" w:cs="宋体"/>
          <w:b/>
          <w:bCs/>
          <w:sz w:val="28"/>
          <w:szCs w:val="28"/>
        </w:rPr>
        <w:t>项目编号</w:t>
      </w:r>
      <w:r>
        <w:rPr>
          <w:rFonts w:hint="eastAsia" w:ascii="宋体" w:hAnsi="宋体" w:eastAsia="宋体" w:cs="宋体"/>
          <w:b/>
          <w:bCs/>
          <w:sz w:val="28"/>
          <w:szCs w:val="28"/>
          <w:highlight w:val="none"/>
        </w:rPr>
        <w:t>：</w:t>
      </w:r>
      <w:bookmarkEnd w:id="2"/>
      <w:r>
        <w:rPr>
          <w:rFonts w:hint="eastAsia" w:ascii="宋体" w:hAnsi="宋体" w:eastAsia="宋体" w:cs="宋体"/>
          <w:b/>
          <w:bCs/>
          <w:sz w:val="28"/>
          <w:szCs w:val="28"/>
          <w:highlight w:val="none"/>
          <w:lang w:eastAsia="zh-CN"/>
        </w:rPr>
        <w:t>ZXCG-350001-FJXW-20260002</w:t>
      </w:r>
    </w:p>
    <w:p w14:paraId="76E10AA4">
      <w:pPr>
        <w:widowControl/>
        <w:jc w:val="center"/>
        <w:rPr>
          <w:rFonts w:hint="eastAsia" w:ascii="宋体" w:hAnsi="宋体" w:eastAsia="宋体" w:cs="宋体"/>
          <w:b/>
          <w:bCs/>
          <w:sz w:val="28"/>
          <w:szCs w:val="28"/>
          <w:highlight w:val="none"/>
        </w:rPr>
      </w:pPr>
    </w:p>
    <w:p w14:paraId="3616C505">
      <w:pPr>
        <w:widowControl/>
        <w:jc w:val="center"/>
        <w:rPr>
          <w:rFonts w:hint="eastAsia" w:ascii="宋体" w:hAnsi="宋体" w:eastAsia="宋体" w:cs="宋体"/>
          <w:b/>
          <w:bCs/>
          <w:sz w:val="28"/>
          <w:szCs w:val="28"/>
        </w:rPr>
      </w:pPr>
    </w:p>
    <w:p w14:paraId="291841D7">
      <w:pPr>
        <w:widowControl/>
        <w:outlineLvl w:val="9"/>
        <w:rPr>
          <w:rFonts w:hint="eastAsia" w:ascii="宋体" w:hAnsi="宋体" w:eastAsia="宋体" w:cs="宋体"/>
          <w:b/>
          <w:bCs/>
          <w:sz w:val="28"/>
          <w:szCs w:val="28"/>
        </w:rPr>
      </w:pPr>
      <w:bookmarkStart w:id="3" w:name="_Toc15622"/>
    </w:p>
    <w:p w14:paraId="50EA9A4D">
      <w:pPr>
        <w:widowControl/>
        <w:jc w:val="center"/>
        <w:outlineLvl w:val="9"/>
        <w:rPr>
          <w:rFonts w:hint="eastAsia" w:ascii="宋体" w:hAnsi="宋体" w:eastAsia="宋体" w:cs="宋体"/>
          <w:b/>
          <w:bCs/>
          <w:sz w:val="28"/>
          <w:szCs w:val="28"/>
        </w:rPr>
      </w:pPr>
    </w:p>
    <w:p w14:paraId="34F79E1D">
      <w:pPr>
        <w:widowControl/>
        <w:jc w:val="center"/>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采购人：</w:t>
      </w:r>
      <w:bookmarkEnd w:id="3"/>
      <w:r>
        <w:rPr>
          <w:rFonts w:hint="eastAsia" w:ascii="宋体" w:hAnsi="宋体" w:eastAsia="宋体" w:cs="宋体"/>
          <w:b/>
          <w:bCs/>
          <w:sz w:val="28"/>
          <w:szCs w:val="28"/>
          <w:lang w:eastAsia="zh-CN"/>
        </w:rPr>
        <w:t>福建省厦门监狱</w:t>
      </w:r>
    </w:p>
    <w:p w14:paraId="6A02F93E">
      <w:pPr>
        <w:widowControl/>
        <w:jc w:val="center"/>
        <w:outlineLvl w:val="9"/>
        <w:rPr>
          <w:rFonts w:hint="eastAsia" w:ascii="宋体" w:hAnsi="宋体" w:eastAsia="宋体" w:cs="宋体"/>
          <w:b/>
          <w:bCs/>
          <w:sz w:val="28"/>
          <w:szCs w:val="28"/>
        </w:rPr>
      </w:pPr>
      <w:bookmarkStart w:id="4" w:name="_Toc5382"/>
      <w:r>
        <w:rPr>
          <w:rFonts w:hint="eastAsia" w:ascii="宋体" w:hAnsi="宋体" w:eastAsia="宋体" w:cs="宋体"/>
          <w:b/>
          <w:bCs/>
          <w:sz w:val="28"/>
          <w:szCs w:val="28"/>
        </w:rPr>
        <w:t>代理机构：福建省新卫招标代理有限公司</w:t>
      </w:r>
      <w:bookmarkEnd w:id="4"/>
    </w:p>
    <w:p w14:paraId="74C95866">
      <w:pPr>
        <w:widowControl/>
        <w:shd w:val="clear" w:color="auto" w:fill="FFFFFF"/>
        <w:jc w:val="center"/>
        <w:rPr>
          <w:rFonts w:hint="eastAsia"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编制时</w:t>
      </w:r>
      <w:r>
        <w:rPr>
          <w:rFonts w:hint="eastAsia" w:ascii="宋体" w:hAnsi="宋体" w:eastAsia="宋体" w:cs="宋体"/>
          <w:b/>
          <w:bCs/>
          <w:sz w:val="28"/>
          <w:szCs w:val="28"/>
          <w:shd w:val="clear" w:color="auto" w:fill="FFFFFF"/>
        </w:rPr>
        <w:t>间：202</w:t>
      </w:r>
      <w:r>
        <w:rPr>
          <w:rFonts w:hint="eastAsia" w:ascii="宋体" w:hAnsi="宋体" w:eastAsia="宋体" w:cs="宋体"/>
          <w:b/>
          <w:bCs/>
          <w:sz w:val="28"/>
          <w:szCs w:val="28"/>
          <w:shd w:val="clear" w:color="auto" w:fill="FFFFFF"/>
          <w:lang w:val="en-US" w:eastAsia="zh-CN"/>
        </w:rPr>
        <w:t>6</w:t>
      </w:r>
      <w:r>
        <w:rPr>
          <w:rFonts w:hint="eastAsia" w:ascii="宋体" w:hAnsi="宋体" w:eastAsia="宋体" w:cs="宋体"/>
          <w:b/>
          <w:bCs/>
          <w:sz w:val="28"/>
          <w:szCs w:val="28"/>
          <w:shd w:val="clear" w:color="auto" w:fill="FFFFFF"/>
        </w:rPr>
        <w:t>年</w:t>
      </w:r>
      <w:r>
        <w:rPr>
          <w:rFonts w:hint="eastAsia" w:ascii="宋体" w:hAnsi="宋体" w:eastAsia="宋体" w:cs="宋体"/>
          <w:b/>
          <w:bCs/>
          <w:sz w:val="28"/>
          <w:szCs w:val="28"/>
          <w:shd w:val="clear" w:color="auto" w:fill="FFFFFF"/>
          <w:lang w:val="en-US" w:eastAsia="zh-CN"/>
        </w:rPr>
        <w:t>2</w:t>
      </w:r>
      <w:r>
        <w:rPr>
          <w:rFonts w:hint="eastAsia" w:ascii="宋体" w:hAnsi="宋体" w:eastAsia="宋体" w:cs="宋体"/>
          <w:b/>
          <w:bCs/>
          <w:sz w:val="28"/>
          <w:szCs w:val="28"/>
          <w:shd w:val="clear" w:color="auto" w:fill="FFFFFF"/>
        </w:rPr>
        <w:t>月</w:t>
      </w:r>
    </w:p>
    <w:p w14:paraId="478559DA">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color w:val="333333"/>
          <w:sz w:val="21"/>
          <w:szCs w:val="21"/>
          <w:shd w:val="clear" w:color="auto" w:fill="FFFFFF"/>
        </w:rPr>
        <w:t> </w:t>
      </w:r>
    </w:p>
    <w:p w14:paraId="419153C3">
      <w:pPr>
        <w:rPr>
          <w:rFonts w:hint="eastAsia" w:ascii="宋体" w:hAnsi="宋体" w:eastAsia="宋体" w:cs="宋体"/>
          <w:b/>
          <w:bCs/>
          <w:color w:val="333333"/>
          <w:sz w:val="39"/>
          <w:szCs w:val="39"/>
          <w:shd w:val="clear" w:color="auto" w:fill="FFFFFF"/>
        </w:rPr>
      </w:pPr>
      <w:r>
        <w:rPr>
          <w:rFonts w:hint="eastAsia" w:ascii="宋体" w:hAnsi="宋体" w:eastAsia="宋体" w:cs="宋体"/>
          <w:b/>
          <w:bCs/>
          <w:color w:val="333333"/>
          <w:sz w:val="39"/>
          <w:szCs w:val="39"/>
          <w:shd w:val="clear" w:color="auto" w:fill="FFFFFF"/>
        </w:rPr>
        <w:br w:type="page"/>
      </w:r>
    </w:p>
    <w:sdt>
      <w:sdtPr>
        <w:rPr>
          <w:rFonts w:ascii="宋体" w:hAnsi="宋体" w:eastAsia="宋体" w:cstheme="minorBidi"/>
          <w:kern w:val="2"/>
          <w:sz w:val="21"/>
          <w:szCs w:val="24"/>
          <w:lang w:val="en-US" w:eastAsia="zh-CN" w:bidi="ar-SA"/>
        </w:rPr>
        <w:id w:val="14747211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FA47034">
          <w:pPr>
            <w:spacing w:before="0" w:beforeLines="0" w:after="0" w:afterLines="0" w:line="240" w:lineRule="auto"/>
            <w:ind w:left="0" w:leftChars="0" w:right="0" w:rightChars="0" w:firstLine="0" w:firstLineChars="0"/>
            <w:jc w:val="center"/>
          </w:pPr>
          <w:r>
            <w:rPr>
              <w:rFonts w:ascii="宋体" w:hAnsi="宋体" w:eastAsia="宋体"/>
              <w:b/>
              <w:bCs/>
              <w:sz w:val="32"/>
              <w:szCs w:val="32"/>
            </w:rPr>
            <w:t>目录</w:t>
          </w:r>
        </w:p>
        <w:p w14:paraId="391F11C5">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fldChar w:fldCharType="begin"/>
          </w:r>
          <w:r>
            <w:instrText xml:space="preserve">TOC \o "1-2" \h \u </w:instrText>
          </w:r>
          <w: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_Toc17246 </w:instrText>
          </w:r>
          <w:r>
            <w:rPr>
              <w:rFonts w:hint="eastAsia" w:ascii="宋体" w:hAnsi="宋体" w:eastAsia="宋体" w:cs="宋体"/>
              <w:b/>
              <w:bCs/>
              <w:sz w:val="24"/>
              <w:szCs w:val="24"/>
            </w:rPr>
            <w:fldChar w:fldCharType="separate"/>
          </w:r>
          <w:r>
            <w:rPr>
              <w:rFonts w:hint="eastAsia" w:ascii="宋体" w:hAnsi="宋体" w:eastAsia="宋体" w:cs="宋体"/>
              <w:b/>
              <w:bCs/>
              <w:kern w:val="0"/>
              <w:sz w:val="24"/>
              <w:szCs w:val="24"/>
              <w:lang w:bidi="ar"/>
            </w:rPr>
            <w:t>第一章 投标邀请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_Toc17246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2FA0E37">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_Toc7683 </w:instrText>
          </w:r>
          <w:r>
            <w:rPr>
              <w:rFonts w:hint="eastAsia" w:ascii="宋体" w:hAnsi="宋体" w:eastAsia="宋体" w:cs="宋体"/>
              <w:b w:val="0"/>
              <w:bCs w:val="0"/>
              <w:sz w:val="24"/>
              <w:szCs w:val="24"/>
            </w:rPr>
            <w:fldChar w:fldCharType="separate"/>
          </w:r>
          <w:r>
            <w:rPr>
              <w:rFonts w:hint="eastAsia" w:ascii="宋体" w:hAnsi="宋体" w:eastAsia="宋体" w:cs="宋体"/>
              <w:b/>
              <w:bCs/>
              <w:sz w:val="24"/>
              <w:szCs w:val="24"/>
              <w:shd w:val="clear" w:color="auto" w:fill="FFFFFF"/>
            </w:rPr>
            <w:t>附1：账户信息</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_Toc7683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63A484E">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_Toc9096 </w:instrText>
          </w:r>
          <w:r>
            <w:rPr>
              <w:rFonts w:hint="eastAsia" w:ascii="宋体" w:hAnsi="宋体" w:eastAsia="宋体" w:cs="宋体"/>
              <w:b w:val="0"/>
              <w:bCs w:val="0"/>
              <w:sz w:val="24"/>
              <w:szCs w:val="24"/>
            </w:rPr>
            <w:fldChar w:fldCharType="separate"/>
          </w:r>
          <w:r>
            <w:rPr>
              <w:rFonts w:hint="eastAsia" w:ascii="宋体" w:hAnsi="宋体" w:eastAsia="宋体" w:cs="宋体"/>
              <w:b/>
              <w:bCs/>
              <w:sz w:val="24"/>
              <w:szCs w:val="24"/>
            </w:rPr>
            <w:t>附2：采购标的一览表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_Toc9096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4D0DA59">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_Toc24910 </w:instrText>
          </w:r>
          <w:r>
            <w:rPr>
              <w:rFonts w:hint="eastAsia" w:ascii="宋体" w:hAnsi="宋体" w:eastAsia="宋体" w:cs="宋体"/>
              <w:b w:val="0"/>
              <w:bCs w:val="0"/>
              <w:sz w:val="24"/>
              <w:szCs w:val="24"/>
            </w:rPr>
            <w:fldChar w:fldCharType="separate"/>
          </w:r>
          <w:r>
            <w:rPr>
              <w:rFonts w:hint="eastAsia" w:ascii="宋体" w:hAnsi="宋体" w:eastAsia="宋体" w:cs="宋体"/>
              <w:b/>
              <w:bCs/>
              <w:sz w:val="24"/>
              <w:szCs w:val="24"/>
            </w:rPr>
            <w:t>第二章 投标人须知前附表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_Toc24910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4C3CF3A">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_Toc20719 </w:instrText>
          </w:r>
          <w:r>
            <w:rPr>
              <w:rFonts w:hint="eastAsia" w:ascii="宋体" w:hAnsi="宋体" w:eastAsia="宋体" w:cs="宋体"/>
              <w:b w:val="0"/>
              <w:bCs w:val="0"/>
              <w:sz w:val="24"/>
              <w:szCs w:val="24"/>
            </w:rPr>
            <w:fldChar w:fldCharType="separate"/>
          </w:r>
          <w:r>
            <w:rPr>
              <w:rFonts w:hint="eastAsia" w:ascii="宋体" w:hAnsi="宋体" w:eastAsia="宋体" w:cs="宋体"/>
              <w:b/>
              <w:bCs/>
              <w:kern w:val="0"/>
              <w:sz w:val="24"/>
              <w:szCs w:val="24"/>
              <w:lang w:bidi="ar"/>
            </w:rPr>
            <w:t>第三章 投标人须知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_Toc20719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58CD061">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12272B">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_Toc29557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_Toc29557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0420A8">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_Toc6821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_Toc6821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0B3DAC">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_Toc21968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_Toc21968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CF25A2">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_Toc25933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8D8E31">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_Toc14920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六、中标与政府采购合同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_Toc14920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24D6CE">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_Toc7598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七、询问、质疑与投诉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_Toc7598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A718C6">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_Toc18028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86EC93">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_Toc9620 </w:instrText>
          </w:r>
          <w:r>
            <w:rPr>
              <w:rFonts w:hint="eastAsia" w:ascii="宋体" w:hAnsi="宋体" w:eastAsia="宋体" w:cs="宋体"/>
              <w:sz w:val="24"/>
              <w:szCs w:val="24"/>
            </w:rPr>
            <w:fldChar w:fldCharType="separate"/>
          </w:r>
          <w:r>
            <w:rPr>
              <w:rFonts w:hint="eastAsia" w:ascii="宋体" w:hAnsi="宋体" w:eastAsia="宋体" w:cs="宋体"/>
              <w:bCs/>
              <w:sz w:val="24"/>
              <w:szCs w:val="24"/>
            </w:rPr>
            <w:t>九、本项目的有关信息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_Toc9620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559A3F">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_Toc17761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十、其他事项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78A58C">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_Toc4573 </w:instrText>
          </w:r>
          <w:r>
            <w:rPr>
              <w:rFonts w:hint="eastAsia" w:ascii="宋体" w:hAnsi="宋体" w:eastAsia="宋体" w:cs="宋体"/>
              <w:sz w:val="24"/>
              <w:szCs w:val="24"/>
            </w:rPr>
            <w:fldChar w:fldCharType="separate"/>
          </w:r>
          <w:r>
            <w:rPr>
              <w:rFonts w:hint="eastAsia" w:ascii="宋体" w:hAnsi="宋体" w:eastAsia="宋体" w:cs="宋体"/>
              <w:b/>
              <w:bCs w:val="0"/>
              <w:kern w:val="0"/>
              <w:sz w:val="24"/>
              <w:szCs w:val="24"/>
              <w:lang w:bidi="ar"/>
            </w:rPr>
            <w:t>第四章 资格审查与评标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_Toc4573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5975E5">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_Toc15799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bidi="ar"/>
            </w:rPr>
            <w:t>一、资格审查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_Toc15799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B649CA">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_Toc1900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二、评标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4572B5">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_Toc32496 </w:instrText>
          </w:r>
          <w:r>
            <w:rPr>
              <w:rFonts w:hint="eastAsia" w:ascii="宋体" w:hAnsi="宋体" w:eastAsia="宋体" w:cs="宋体"/>
              <w:sz w:val="24"/>
              <w:szCs w:val="24"/>
            </w:rPr>
            <w:fldChar w:fldCharType="separate"/>
          </w:r>
          <w:r>
            <w:rPr>
              <w:rFonts w:hint="eastAsia" w:ascii="宋体" w:hAnsi="宋体" w:eastAsia="宋体" w:cs="宋体"/>
              <w:b/>
              <w:bCs w:val="0"/>
              <w:kern w:val="0"/>
              <w:sz w:val="24"/>
              <w:szCs w:val="24"/>
              <w:lang w:bidi="ar"/>
            </w:rPr>
            <w:t>第五章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_Toc32496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226F19">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_Toc9516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一、项目概况（采购标的）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_Toc9516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B649EB">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二、技术和服务要求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_Toc11282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CA087F">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_Toc13311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bidi="ar"/>
            </w:rPr>
            <w:t>三、商务要求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_Toc13311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C362A7">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bidi="ar"/>
            </w:rPr>
            <w:t>四、其他事项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_Toc18960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25016E">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_Toc28015 </w:instrText>
          </w:r>
          <w:r>
            <w:rPr>
              <w:rFonts w:hint="eastAsia" w:ascii="宋体" w:hAnsi="宋体" w:eastAsia="宋体" w:cs="宋体"/>
              <w:sz w:val="24"/>
              <w:szCs w:val="24"/>
            </w:rPr>
            <w:fldChar w:fldCharType="separate"/>
          </w:r>
          <w:r>
            <w:rPr>
              <w:rFonts w:hint="eastAsia" w:ascii="宋体" w:hAnsi="宋体" w:eastAsia="宋体" w:cs="宋体"/>
              <w:b/>
              <w:bCs w:val="0"/>
              <w:kern w:val="0"/>
              <w:sz w:val="24"/>
              <w:szCs w:val="24"/>
              <w:lang w:bidi="ar"/>
            </w:rPr>
            <w:t>第六章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_Toc28015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7B5EFD">
          <w:pPr>
            <w:pStyle w:val="16"/>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_Toc16846 </w:instrText>
          </w:r>
          <w:r>
            <w:rPr>
              <w:rFonts w:hint="eastAsia" w:ascii="宋体" w:hAnsi="宋体" w:eastAsia="宋体" w:cs="宋体"/>
              <w:sz w:val="24"/>
              <w:szCs w:val="24"/>
            </w:rPr>
            <w:fldChar w:fldCharType="separate"/>
          </w:r>
          <w:r>
            <w:rPr>
              <w:rFonts w:hint="eastAsia" w:ascii="宋体" w:hAnsi="宋体" w:eastAsia="宋体" w:cs="宋体"/>
              <w:b/>
              <w:bCs w:val="0"/>
              <w:kern w:val="0"/>
              <w:sz w:val="24"/>
              <w:szCs w:val="24"/>
              <w:lang w:bidi="ar"/>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_Toc16846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B9344A">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_Toc31667 </w:instrText>
          </w:r>
          <w:r>
            <w:rPr>
              <w:rFonts w:hint="eastAsia" w:ascii="宋体" w:hAnsi="宋体" w:eastAsia="宋体" w:cs="宋体"/>
              <w:sz w:val="24"/>
              <w:szCs w:val="24"/>
            </w:rPr>
            <w:fldChar w:fldCharType="separate"/>
          </w:r>
          <w:r>
            <w:rPr>
              <w:rFonts w:hint="eastAsia" w:ascii="宋体" w:hAnsi="宋体" w:eastAsia="宋体" w:cs="宋体"/>
              <w:sz w:val="24"/>
              <w:szCs w:val="24"/>
            </w:rPr>
            <w:t>封面格式(资格及资信证明部分)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_Toc31667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BC1987">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_Toc4524 </w:instrText>
          </w:r>
          <w:r>
            <w:rPr>
              <w:rFonts w:hint="eastAsia" w:ascii="宋体" w:hAnsi="宋体" w:eastAsia="宋体" w:cs="宋体"/>
              <w:sz w:val="24"/>
              <w:szCs w:val="24"/>
            </w:rPr>
            <w:fldChar w:fldCharType="separate"/>
          </w:r>
          <w:r>
            <w:rPr>
              <w:rFonts w:hint="eastAsia" w:ascii="宋体" w:hAnsi="宋体" w:eastAsia="宋体" w:cs="宋体"/>
              <w:sz w:val="24"/>
              <w:szCs w:val="24"/>
            </w:rPr>
            <w:t>封面格式(报价部分)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_Toc4524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12E2F2">
          <w:pPr>
            <w:pStyle w:val="17"/>
            <w:keepNext w:val="0"/>
            <w:keepLines w:val="0"/>
            <w:pageBreakBefore w:val="0"/>
            <w:widowControl w:val="0"/>
            <w:tabs>
              <w:tab w:val="right" w:leader="dot" w:pos="9638"/>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_Toc2741 </w:instrText>
          </w:r>
          <w:r>
            <w:rPr>
              <w:rFonts w:hint="eastAsia" w:ascii="宋体" w:hAnsi="宋体" w:eastAsia="宋体" w:cs="宋体"/>
              <w:sz w:val="24"/>
              <w:szCs w:val="24"/>
            </w:rPr>
            <w:fldChar w:fldCharType="separate"/>
          </w:r>
          <w:r>
            <w:rPr>
              <w:rFonts w:hint="eastAsia" w:ascii="宋体" w:hAnsi="宋体" w:eastAsia="宋体" w:cs="宋体"/>
              <w:sz w:val="24"/>
              <w:szCs w:val="24"/>
            </w:rPr>
            <w:t>封面格式(技术商务部分)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_Toc2741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8A097E">
          <w:pPr>
            <w:ind w:firstLine="420" w:firstLineChars="200"/>
          </w:pPr>
          <w:r>
            <w:fldChar w:fldCharType="end"/>
          </w:r>
        </w:p>
        <w:p w14:paraId="461C769A">
          <w:pPr>
            <w:ind w:firstLine="480" w:firstLineChars="200"/>
          </w:pPr>
          <w:r>
            <w:rPr>
              <w:rFonts w:hint="eastAsia" w:ascii="宋体" w:hAnsi="宋体" w:eastAsia="宋体" w:cs="宋体"/>
              <w:sz w:val="24"/>
            </w:rPr>
            <w:t>注：本招标文件共</w:t>
          </w:r>
          <w:r>
            <w:rPr>
              <w:rFonts w:hint="eastAsia" w:ascii="宋体" w:hAnsi="宋体" w:eastAsia="宋体" w:cs="宋体"/>
              <w:sz w:val="24"/>
              <w:lang w:val="en-US" w:eastAsia="zh-CN"/>
            </w:rPr>
            <w:t>85</w:t>
          </w:r>
          <w:r>
            <w:rPr>
              <w:rFonts w:hint="eastAsia" w:ascii="宋体" w:hAnsi="宋体" w:eastAsia="宋体" w:cs="宋体"/>
              <w:sz w:val="24"/>
            </w:rPr>
            <w:t>页（包含封面及目录），请投标人领取招标文件时自行核对，如发现缺、损等情况，自领取招标文件之日起二日内向福建省新卫招标代理有限公司提出，否则，由此造成的一切后果由供应商自负。</w:t>
          </w:r>
        </w:p>
      </w:sdtContent>
    </w:sdt>
    <w:p w14:paraId="71A56745"/>
    <w:p w14:paraId="69B7E19F">
      <w:pPr>
        <w:widowControl/>
        <w:shd w:val="clear" w:color="auto" w:fill="FFFFFF"/>
        <w:jc w:val="center"/>
        <w:outlineLvl w:val="0"/>
        <w:rPr>
          <w:rStyle w:val="26"/>
          <w:rFonts w:hint="eastAsia" w:ascii="宋体" w:hAnsi="宋体" w:eastAsia="宋体" w:cs="宋体"/>
          <w:bCs/>
          <w:color w:val="000000"/>
          <w:kern w:val="0"/>
          <w:sz w:val="32"/>
          <w:szCs w:val="32"/>
          <w:lang w:bidi="ar"/>
        </w:rPr>
      </w:pPr>
      <w:bookmarkStart w:id="5" w:name="_Toc17246"/>
      <w:r>
        <w:rPr>
          <w:rStyle w:val="26"/>
          <w:rFonts w:hint="eastAsia" w:ascii="宋体" w:hAnsi="宋体" w:eastAsia="宋体" w:cs="宋体"/>
          <w:bCs/>
          <w:color w:val="000000"/>
          <w:kern w:val="0"/>
          <w:sz w:val="32"/>
          <w:szCs w:val="32"/>
          <w:lang w:bidi="ar"/>
        </w:rPr>
        <w:t>第一章 投标邀请</w:t>
      </w:r>
      <w:bookmarkEnd w:id="5"/>
    </w:p>
    <w:p w14:paraId="460E534D">
      <w:pPr>
        <w:pStyle w:val="18"/>
        <w:widowControl/>
        <w:snapToGrid w:val="0"/>
        <w:spacing w:beforeAutospacing="0" w:afterAutospacing="0" w:line="500" w:lineRule="atLeast"/>
        <w:ind w:firstLine="480"/>
        <w:rPr>
          <w:rFonts w:hint="eastAsia" w:ascii="宋体" w:hAnsi="宋体" w:eastAsia="宋体" w:cs="宋体"/>
          <w:color w:val="000000"/>
        </w:rPr>
      </w:pPr>
      <w:r>
        <w:rPr>
          <w:rFonts w:hint="eastAsia" w:ascii="宋体" w:hAnsi="宋体" w:eastAsia="宋体" w:cs="宋体"/>
          <w:color w:val="000000"/>
        </w:rPr>
        <w:t>福建省新卫招标代理有限公司采用公开招标方式组织</w:t>
      </w:r>
      <w:r>
        <w:rPr>
          <w:rFonts w:hint="eastAsia" w:ascii="宋体" w:hAnsi="宋体" w:eastAsia="宋体" w:cs="宋体"/>
          <w:color w:val="000000"/>
          <w:lang w:eastAsia="zh-CN"/>
        </w:rPr>
        <w:t>福建省厦门监狱入监、出监积分学习集成系统采购项目</w:t>
      </w:r>
      <w:r>
        <w:rPr>
          <w:rFonts w:hint="eastAsia" w:ascii="宋体" w:hAnsi="宋体" w:eastAsia="宋体" w:cs="宋体"/>
          <w:color w:val="000000"/>
        </w:rPr>
        <w:t>（以下简称：“本项目”）的政府采购活动，现邀请供应商参加投标。</w:t>
      </w:r>
    </w:p>
    <w:p w14:paraId="7E9FF158">
      <w:pPr>
        <w:pStyle w:val="18"/>
        <w:widowControl/>
        <w:snapToGrid w:val="0"/>
        <w:spacing w:beforeAutospacing="0" w:afterAutospacing="0" w:line="500" w:lineRule="atLeast"/>
        <w:ind w:firstLine="480"/>
        <w:rPr>
          <w:rFonts w:hint="eastAsia" w:ascii="宋体" w:hAnsi="宋体" w:eastAsia="宋体" w:cs="宋体"/>
          <w:b/>
          <w:bCs/>
          <w:color w:val="000000"/>
          <w:lang w:eastAsia="zh-CN"/>
        </w:rPr>
      </w:pPr>
      <w:r>
        <w:rPr>
          <w:rFonts w:hint="eastAsia" w:ascii="宋体" w:hAnsi="宋体" w:eastAsia="宋体" w:cs="宋体"/>
          <w:b/>
          <w:bCs/>
          <w:color w:val="000000"/>
        </w:rPr>
        <w:t>1、项目</w:t>
      </w:r>
      <w:r>
        <w:rPr>
          <w:rFonts w:hint="eastAsia" w:ascii="宋体" w:hAnsi="宋体" w:eastAsia="宋体" w:cs="宋体"/>
          <w:b/>
          <w:bCs/>
          <w:color w:val="000000"/>
          <w:highlight w:val="none"/>
        </w:rPr>
        <w:t>编号：</w:t>
      </w:r>
      <w:r>
        <w:rPr>
          <w:rFonts w:hint="eastAsia" w:ascii="宋体" w:hAnsi="宋体" w:eastAsia="宋体" w:cs="宋体"/>
          <w:b/>
          <w:bCs/>
          <w:color w:val="000000"/>
          <w:highlight w:val="none"/>
          <w:lang w:eastAsia="zh-CN"/>
        </w:rPr>
        <w:t>ZXCG-350001-FJXW-20260002</w:t>
      </w:r>
    </w:p>
    <w:p w14:paraId="2C2AC9D2">
      <w:pPr>
        <w:pStyle w:val="18"/>
        <w:widowControl/>
        <w:snapToGrid w:val="0"/>
        <w:spacing w:beforeAutospacing="0" w:afterAutospacing="0" w:line="500" w:lineRule="atLeast"/>
        <w:ind w:firstLine="480"/>
        <w:rPr>
          <w:rFonts w:hint="eastAsia" w:ascii="宋体" w:hAnsi="宋体" w:eastAsia="宋体" w:cs="宋体"/>
          <w:b/>
          <w:bCs/>
          <w:color w:val="000000"/>
        </w:rPr>
      </w:pPr>
      <w:r>
        <w:rPr>
          <w:rFonts w:hint="eastAsia" w:ascii="宋体" w:hAnsi="宋体" w:eastAsia="宋体" w:cs="宋体"/>
          <w:b/>
          <w:bCs/>
          <w:color w:val="000000"/>
        </w:rPr>
        <w:t>2、预算金额、最高限价：详见《采购标的一览表》。</w:t>
      </w:r>
    </w:p>
    <w:p w14:paraId="6165E715">
      <w:pPr>
        <w:pStyle w:val="18"/>
        <w:widowControl/>
        <w:snapToGrid w:val="0"/>
        <w:spacing w:beforeAutospacing="0" w:afterAutospacing="0" w:line="500" w:lineRule="atLeast"/>
        <w:ind w:firstLine="480"/>
        <w:rPr>
          <w:rFonts w:hint="eastAsia" w:ascii="宋体" w:hAnsi="宋体" w:eastAsia="宋体" w:cs="宋体"/>
          <w:b/>
          <w:bCs/>
          <w:color w:val="000000"/>
        </w:rPr>
      </w:pPr>
      <w:r>
        <w:rPr>
          <w:rFonts w:hint="eastAsia" w:ascii="宋体" w:hAnsi="宋体" w:eastAsia="宋体" w:cs="宋体"/>
          <w:b/>
          <w:bCs/>
          <w:color w:val="000000"/>
        </w:rPr>
        <w:t>3、招标内容及要求：详见《采购标的一览表》及招标文件第五章。</w:t>
      </w:r>
    </w:p>
    <w:p w14:paraId="251B88CC">
      <w:pPr>
        <w:pStyle w:val="18"/>
        <w:widowControl/>
        <w:snapToGrid w:val="0"/>
        <w:spacing w:beforeAutospacing="0" w:afterAutospacing="0" w:line="500" w:lineRule="atLeast"/>
        <w:ind w:firstLine="480"/>
        <w:rPr>
          <w:rFonts w:hint="eastAsia" w:ascii="宋体" w:hAnsi="宋体" w:eastAsia="宋体" w:cs="宋体"/>
          <w:b/>
          <w:bCs/>
          <w:color w:val="000000"/>
        </w:rPr>
      </w:pPr>
      <w:r>
        <w:rPr>
          <w:rFonts w:hint="eastAsia" w:ascii="宋体" w:hAnsi="宋体" w:eastAsia="宋体" w:cs="宋体"/>
          <w:b/>
          <w:bCs/>
          <w:color w:val="000000"/>
        </w:rPr>
        <w:t>4、需要落实的政府采购政策</w:t>
      </w:r>
    </w:p>
    <w:p w14:paraId="19285ADB">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进口产品：不适用。</w:t>
      </w:r>
    </w:p>
    <w:p w14:paraId="4541F2F5">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节能产品：不适用。</w:t>
      </w:r>
    </w:p>
    <w:p w14:paraId="527E6F58">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环境标志产品：不适用。</w:t>
      </w:r>
    </w:p>
    <w:p w14:paraId="597C5D94">
      <w:pPr>
        <w:pStyle w:val="18"/>
        <w:widowControl/>
        <w:snapToGrid w:val="0"/>
        <w:spacing w:beforeAutospacing="0" w:afterAutospacing="0" w:line="500" w:lineRule="atLeast"/>
        <w:ind w:firstLine="480"/>
        <w:outlineLvl w:val="9"/>
        <w:rPr>
          <w:rFonts w:hint="eastAsia" w:ascii="宋体" w:hAnsi="宋体" w:eastAsia="宋体" w:cs="宋体"/>
          <w:b/>
          <w:bCs/>
          <w:color w:val="000000"/>
        </w:rPr>
      </w:pPr>
      <w:bookmarkStart w:id="6" w:name="_Toc3529"/>
      <w:r>
        <w:rPr>
          <w:rFonts w:hint="eastAsia" w:ascii="宋体" w:hAnsi="宋体" w:eastAsia="宋体" w:cs="宋体"/>
          <w:b/>
          <w:bCs/>
          <w:color w:val="000000"/>
        </w:rPr>
        <w:t>5、投标人的资格要求</w:t>
      </w:r>
      <w:bookmarkEnd w:id="6"/>
    </w:p>
    <w:p w14:paraId="0A6E666F">
      <w:pPr>
        <w:pStyle w:val="18"/>
        <w:widowControl/>
        <w:shd w:val="clear" w:color="auto" w:fill="FFFFFF"/>
        <w:spacing w:beforeAutospacing="0" w:afterAutospacing="0" w:line="480" w:lineRule="atLeast"/>
        <w:ind w:firstLine="482" w:firstLineChars="200"/>
        <w:rPr>
          <w:rFonts w:hint="eastAsia" w:ascii="宋体" w:hAnsi="宋体" w:eastAsia="宋体" w:cs="宋体"/>
          <w:color w:val="000000"/>
          <w:kern w:val="2"/>
        </w:rPr>
      </w:pPr>
      <w:r>
        <w:rPr>
          <w:rFonts w:hint="eastAsia" w:ascii="宋体" w:hAnsi="宋体" w:eastAsia="宋体" w:cs="宋体"/>
          <w:b/>
          <w:bCs/>
          <w:color w:val="000000"/>
          <w:kern w:val="2"/>
        </w:rPr>
        <w:t>5.1法定条件：</w:t>
      </w:r>
      <w:r>
        <w:rPr>
          <w:rFonts w:hint="eastAsia" w:ascii="宋体" w:hAnsi="宋体" w:eastAsia="宋体" w:cs="宋体"/>
          <w:color w:val="000000"/>
          <w:kern w:val="2"/>
        </w:rPr>
        <w:t>符合政府采购法第二十二条第一款规定的条件。</w:t>
      </w:r>
    </w:p>
    <w:p w14:paraId="1E53217B">
      <w:pPr>
        <w:pStyle w:val="18"/>
        <w:widowControl/>
        <w:shd w:val="clear" w:color="auto" w:fill="FFFFFF"/>
        <w:spacing w:beforeAutospacing="0" w:afterAutospacing="0" w:line="480" w:lineRule="atLeast"/>
        <w:ind w:firstLine="482" w:firstLineChars="200"/>
        <w:rPr>
          <w:rFonts w:hint="eastAsia" w:ascii="宋体" w:hAnsi="宋体" w:eastAsia="宋体" w:cs="宋体"/>
          <w:b/>
          <w:bCs/>
          <w:color w:val="000000"/>
          <w:kern w:val="2"/>
        </w:rPr>
      </w:pPr>
      <w:r>
        <w:rPr>
          <w:rFonts w:hint="eastAsia" w:ascii="宋体" w:hAnsi="宋体" w:eastAsia="宋体" w:cs="宋体"/>
          <w:b/>
          <w:bCs/>
          <w:color w:val="000000"/>
          <w:kern w:val="2"/>
        </w:rPr>
        <w:t>5.2特定条件：</w:t>
      </w:r>
    </w:p>
    <w:p w14:paraId="2878E4F7">
      <w:pPr>
        <w:pStyle w:val="18"/>
        <w:widowControl/>
        <w:shd w:val="clear" w:color="auto" w:fill="FFFFFF"/>
        <w:spacing w:beforeAutospacing="0" w:afterAutospacing="0" w:line="480" w:lineRule="atLeast"/>
        <w:ind w:firstLine="482" w:firstLineChars="200"/>
        <w:rPr>
          <w:rFonts w:hint="eastAsia" w:ascii="宋体" w:hAnsi="宋体" w:eastAsia="宋体" w:cs="宋体"/>
          <w:b/>
          <w:bCs/>
          <w:color w:val="000000"/>
          <w:kern w:val="2"/>
        </w:rPr>
      </w:pPr>
      <w:r>
        <w:rPr>
          <w:rFonts w:hint="eastAsia" w:ascii="宋体" w:hAnsi="宋体" w:eastAsia="宋体" w:cs="宋体"/>
          <w:b/>
          <w:bCs/>
          <w:color w:val="000000"/>
          <w:kern w:val="2"/>
        </w:rPr>
        <w:t>采购包1：</w:t>
      </w:r>
    </w:p>
    <w:tbl>
      <w:tblPr>
        <w:tblStyle w:val="23"/>
        <w:tblW w:w="5000" w:type="pct"/>
        <w:tblInd w:w="0" w:type="dxa"/>
        <w:tblLayout w:type="autofit"/>
        <w:tblCellMar>
          <w:top w:w="0" w:type="dxa"/>
          <w:left w:w="0" w:type="dxa"/>
          <w:bottom w:w="0" w:type="dxa"/>
          <w:right w:w="0" w:type="dxa"/>
        </w:tblCellMar>
      </w:tblPr>
      <w:tblGrid>
        <w:gridCol w:w="2600"/>
        <w:gridCol w:w="7278"/>
      </w:tblGrid>
      <w:tr w14:paraId="02D3EA39">
        <w:tblPrEx>
          <w:tblCellMar>
            <w:top w:w="0" w:type="dxa"/>
            <w:left w:w="0" w:type="dxa"/>
            <w:bottom w:w="0" w:type="dxa"/>
            <w:right w:w="0" w:type="dxa"/>
          </w:tblCellMar>
        </w:tblPrEx>
        <w:tc>
          <w:tcPr>
            <w:tcW w:w="131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BD48CC">
            <w:pPr>
              <w:widowControl/>
              <w:wordWrap w:val="0"/>
              <w:spacing w:line="480" w:lineRule="atLeast"/>
              <w:jc w:val="left"/>
              <w:rPr>
                <w:rFonts w:hint="eastAsia" w:ascii="宋体" w:hAnsi="宋体" w:eastAsia="宋体" w:cs="宋体"/>
                <w:b/>
                <w:bCs/>
                <w:color w:val="000000"/>
                <w:sz w:val="24"/>
              </w:rPr>
            </w:pPr>
            <w:r>
              <w:rPr>
                <w:rFonts w:hint="eastAsia" w:ascii="宋体" w:hAnsi="宋体" w:eastAsia="宋体" w:cs="宋体"/>
                <w:b/>
                <w:bCs/>
                <w:color w:val="000000"/>
                <w:sz w:val="24"/>
              </w:rPr>
              <w:t>资格审查要求概况</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905BEF">
            <w:pPr>
              <w:widowControl/>
              <w:wordWrap w:val="0"/>
              <w:spacing w:line="480" w:lineRule="atLeast"/>
              <w:jc w:val="left"/>
              <w:rPr>
                <w:rFonts w:hint="eastAsia" w:ascii="宋体" w:hAnsi="宋体" w:eastAsia="宋体" w:cs="宋体"/>
                <w:b/>
                <w:bCs/>
                <w:color w:val="000000"/>
                <w:sz w:val="24"/>
              </w:rPr>
            </w:pPr>
            <w:r>
              <w:rPr>
                <w:rFonts w:hint="eastAsia" w:ascii="宋体" w:hAnsi="宋体" w:eastAsia="宋体" w:cs="宋体"/>
                <w:b/>
                <w:bCs/>
                <w:color w:val="000000"/>
                <w:sz w:val="24"/>
              </w:rPr>
              <w:t>评审点具体描述</w:t>
            </w:r>
          </w:p>
        </w:tc>
      </w:tr>
      <w:tr w14:paraId="19C84604">
        <w:tblPrEx>
          <w:tblCellMar>
            <w:top w:w="0" w:type="dxa"/>
            <w:left w:w="0" w:type="dxa"/>
            <w:bottom w:w="0" w:type="dxa"/>
            <w:right w:w="0" w:type="dxa"/>
          </w:tblCellMar>
        </w:tblPrEx>
        <w:tc>
          <w:tcPr>
            <w:tcW w:w="131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3ADA37">
            <w:pPr>
              <w:widowControl/>
              <w:wordWrap w:val="0"/>
              <w:spacing w:line="480" w:lineRule="atLeast"/>
              <w:jc w:val="left"/>
              <w:rPr>
                <w:rFonts w:hint="eastAsia" w:ascii="宋体" w:hAnsi="宋体" w:eastAsia="宋体" w:cs="宋体"/>
                <w:sz w:val="24"/>
              </w:rPr>
            </w:pPr>
            <w:r>
              <w:rPr>
                <w:rFonts w:ascii="宋体" w:hAnsi="宋体" w:eastAsia="宋体" w:cs="宋体"/>
                <w:sz w:val="24"/>
              </w:rPr>
              <w:t>资格承诺函 (若有)</w:t>
            </w:r>
          </w:p>
        </w:tc>
        <w:tc>
          <w:tcPr>
            <w:tcW w:w="72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4A9AD7">
            <w:pPr>
              <w:widowControl/>
              <w:wordWrap w:val="0"/>
              <w:spacing w:line="480" w:lineRule="atLeast"/>
              <w:jc w:val="left"/>
              <w:rPr>
                <w:rFonts w:hint="eastAsia" w:ascii="宋体" w:hAnsi="宋体" w:eastAsia="宋体" w:cs="宋体"/>
                <w:sz w:val="24"/>
              </w:rPr>
            </w:pPr>
            <w:r>
              <w:rPr>
                <w:rFonts w:hint="eastAsia" w:ascii="宋体" w:hAnsi="宋体" w:eastAsia="宋体" w:cs="宋体"/>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2C68FC2">
        <w:tblPrEx>
          <w:tblCellMar>
            <w:top w:w="0" w:type="dxa"/>
            <w:left w:w="0" w:type="dxa"/>
            <w:bottom w:w="0" w:type="dxa"/>
            <w:right w:w="0" w:type="dxa"/>
          </w:tblCellMar>
        </w:tblPrEx>
        <w:tc>
          <w:tcPr>
            <w:tcW w:w="26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218397">
            <w:pPr>
              <w:widowControl/>
              <w:wordWrap w:val="0"/>
              <w:spacing w:line="480" w:lineRule="atLeast"/>
              <w:jc w:val="center"/>
              <w:rPr>
                <w:rFonts w:ascii="宋体" w:hAnsi="宋体" w:eastAsia="宋体" w:cs="宋体"/>
                <w:color w:val="auto"/>
                <w:sz w:val="24"/>
              </w:rPr>
            </w:pPr>
            <w:r>
              <w:rPr>
                <w:rFonts w:hint="default" w:ascii="宋体" w:hAnsi="宋体" w:eastAsia="宋体" w:cs="宋体"/>
                <w:color w:val="auto"/>
                <w:sz w:val="24"/>
              </w:rPr>
              <w:t>未列入不良行为记录名单</w:t>
            </w:r>
          </w:p>
        </w:tc>
        <w:tc>
          <w:tcPr>
            <w:tcW w:w="72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49A58D">
            <w:pPr>
              <w:widowControl/>
              <w:wordWrap w:val="0"/>
              <w:spacing w:line="480" w:lineRule="atLeast"/>
              <w:jc w:val="left"/>
              <w:rPr>
                <w:rFonts w:hint="eastAsia" w:ascii="宋体" w:hAnsi="宋体" w:eastAsia="宋体" w:cs="宋体"/>
                <w:color w:val="auto"/>
                <w:sz w:val="24"/>
              </w:rPr>
            </w:pPr>
            <w:r>
              <w:rPr>
                <w:rFonts w:hint="default" w:ascii="宋体" w:hAnsi="宋体" w:eastAsia="宋体" w:cs="宋体"/>
                <w:color w:val="auto"/>
                <w:sz w:val="24"/>
              </w:rPr>
              <w:t>供应商没有被列入福建省监狱管理局不良行为记录名单</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也没有被列入</w:t>
            </w:r>
            <w:r>
              <w:rPr>
                <w:rFonts w:hint="eastAsia" w:ascii="宋体" w:hAnsi="宋体" w:eastAsia="宋体" w:cs="宋体"/>
                <w:color w:val="auto"/>
                <w:sz w:val="24"/>
                <w:lang w:eastAsia="zh-CN"/>
              </w:rPr>
              <w:t>福建省厦门监狱</w:t>
            </w:r>
            <w:r>
              <w:rPr>
                <w:rFonts w:hint="default" w:ascii="宋体" w:hAnsi="宋体" w:eastAsia="宋体" w:cs="宋体"/>
                <w:color w:val="auto"/>
                <w:sz w:val="24"/>
              </w:rPr>
              <w:t>不良行为记录名单</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提供承诺函。</w:t>
            </w:r>
          </w:p>
        </w:tc>
      </w:tr>
    </w:tbl>
    <w:p w14:paraId="48648EA6">
      <w:pPr>
        <w:pStyle w:val="18"/>
        <w:widowControl/>
        <w:shd w:val="clear" w:color="auto" w:fill="FFFFFF"/>
        <w:spacing w:beforeAutospacing="0" w:afterAutospacing="0" w:line="480" w:lineRule="atLeast"/>
        <w:ind w:firstLine="482" w:firstLineChars="200"/>
        <w:rPr>
          <w:rFonts w:hint="eastAsia" w:ascii="宋体" w:hAnsi="宋体" w:eastAsia="宋体" w:cs="宋体"/>
          <w:b/>
          <w:bCs/>
          <w:color w:val="000000"/>
          <w:kern w:val="2"/>
        </w:rPr>
      </w:pPr>
      <w:r>
        <w:rPr>
          <w:rFonts w:hint="eastAsia" w:ascii="宋体" w:hAnsi="宋体" w:eastAsia="宋体" w:cs="宋体"/>
          <w:b/>
          <w:bCs/>
          <w:color w:val="000000"/>
          <w:kern w:val="2"/>
        </w:rPr>
        <w:t>5.3是否接受联合体投标：</w:t>
      </w:r>
    </w:p>
    <w:p w14:paraId="3277DA95">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采购包1：不接受</w:t>
      </w:r>
    </w:p>
    <w:p w14:paraId="1F54A510">
      <w:pPr>
        <w:pStyle w:val="18"/>
        <w:widowControl/>
        <w:shd w:val="clear" w:color="auto" w:fill="FFFFFF"/>
        <w:spacing w:beforeAutospacing="0" w:afterAutospacing="0" w:line="480" w:lineRule="atLeast"/>
        <w:ind w:firstLine="482" w:firstLineChars="200"/>
        <w:rPr>
          <w:rFonts w:hint="eastAsia" w:ascii="宋体" w:hAnsi="宋体" w:eastAsia="宋体" w:cs="宋体"/>
          <w:b/>
          <w:bCs/>
          <w:color w:val="000000"/>
          <w:kern w:val="2"/>
        </w:rPr>
      </w:pPr>
      <w:r>
        <w:rPr>
          <w:rFonts w:hint="eastAsia" w:ascii="宋体" w:hAnsi="宋体" w:eastAsia="宋体" w:cs="宋体"/>
          <w:b/>
          <w:bCs/>
          <w:color w:val="000000"/>
          <w:kern w:val="2"/>
        </w:rPr>
        <w:t>※根据上述资格要求，</w:t>
      </w:r>
      <w:r>
        <w:rPr>
          <w:rFonts w:hint="eastAsia" w:ascii="宋体" w:hAnsi="宋体" w:eastAsia="宋体" w:cs="宋体"/>
          <w:b/>
          <w:bCs/>
          <w:color w:val="000000"/>
          <w:kern w:val="2"/>
          <w:lang w:eastAsia="zh-CN"/>
        </w:rPr>
        <w:t>电子投标文件</w:t>
      </w:r>
      <w:r>
        <w:rPr>
          <w:rFonts w:hint="eastAsia" w:ascii="宋体" w:hAnsi="宋体" w:eastAsia="宋体" w:cs="宋体"/>
          <w:b/>
          <w:bCs/>
          <w:color w:val="000000"/>
          <w:kern w:val="2"/>
        </w:rPr>
        <w:t>中应提交的“投标人的资格及资信证明文件”详见招标文件第四章。</w:t>
      </w:r>
    </w:p>
    <w:p w14:paraId="688D8FEA">
      <w:pPr>
        <w:pStyle w:val="18"/>
        <w:widowControl/>
        <w:shd w:val="clear" w:color="auto" w:fill="FFFFFF"/>
        <w:spacing w:beforeAutospacing="0" w:afterAutospacing="0" w:line="480" w:lineRule="atLeast"/>
        <w:ind w:firstLine="482" w:firstLineChars="200"/>
        <w:outlineLvl w:val="9"/>
        <w:rPr>
          <w:rFonts w:hint="eastAsia" w:ascii="宋体" w:hAnsi="宋体" w:eastAsia="宋体" w:cs="宋体"/>
          <w:b/>
          <w:bCs/>
          <w:color w:val="000000"/>
          <w:kern w:val="2"/>
        </w:rPr>
      </w:pPr>
      <w:bookmarkStart w:id="7" w:name="_Toc24321"/>
      <w:r>
        <w:rPr>
          <w:rFonts w:hint="eastAsia" w:ascii="宋体" w:hAnsi="宋体" w:eastAsia="宋体" w:cs="宋体"/>
          <w:b/>
          <w:bCs/>
          <w:color w:val="000000"/>
          <w:kern w:val="2"/>
        </w:rPr>
        <w:t>6、招标文件的获取</w:t>
      </w:r>
      <w:bookmarkEnd w:id="7"/>
    </w:p>
    <w:p w14:paraId="40136D1B">
      <w:pPr>
        <w:pStyle w:val="18"/>
        <w:widowControl/>
        <w:shd w:val="clear" w:color="auto" w:fill="FFFFFF"/>
        <w:spacing w:beforeAutospacing="0" w:afterAutospacing="0" w:line="480" w:lineRule="atLeas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6</w:t>
      </w:r>
      <w:r>
        <w:rPr>
          <w:rFonts w:hint="eastAsia" w:ascii="宋体" w:hAnsi="宋体" w:eastAsia="宋体" w:cs="宋体"/>
          <w:color w:val="000000"/>
          <w:kern w:val="2"/>
          <w:sz w:val="24"/>
          <w:szCs w:val="24"/>
        </w:rPr>
        <w:t>.1、招标文件获取期限：详见招标公告或更正公告，若不一致，以更正公告为准。</w:t>
      </w:r>
    </w:p>
    <w:p w14:paraId="42D4C8F9">
      <w:pPr>
        <w:pStyle w:val="18"/>
        <w:widowControl/>
        <w:shd w:val="clear" w:color="auto" w:fill="FFFFFF"/>
        <w:spacing w:beforeAutospacing="0" w:afterAutospacing="0" w:line="480" w:lineRule="atLeas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6</w:t>
      </w:r>
      <w:r>
        <w:rPr>
          <w:rFonts w:hint="eastAsia" w:ascii="宋体" w:hAnsi="宋体" w:eastAsia="宋体" w:cs="宋体"/>
          <w:color w:val="000000"/>
          <w:kern w:val="2"/>
          <w:sz w:val="24"/>
          <w:szCs w:val="24"/>
        </w:rPr>
        <w:t>.2、在招标文件获取期限内，供应商应通过</w:t>
      </w:r>
      <w:r>
        <w:rPr>
          <w:rFonts w:hint="eastAsia" w:ascii="宋体" w:hAnsi="宋体" w:eastAsia="宋体" w:cs="宋体"/>
          <w:color w:val="000000"/>
          <w:kern w:val="2"/>
          <w:sz w:val="24"/>
          <w:szCs w:val="24"/>
          <w:lang w:eastAsia="zh-CN"/>
        </w:rPr>
        <w:t>福建省政府采购网上公开信息系统（自采平台）</w:t>
      </w:r>
      <w:r>
        <w:rPr>
          <w:rFonts w:hint="eastAsia" w:ascii="宋体" w:hAnsi="宋体" w:eastAsia="宋体" w:cs="宋体"/>
          <w:color w:val="000000"/>
          <w:kern w:val="2"/>
          <w:sz w:val="24"/>
          <w:szCs w:val="24"/>
        </w:rPr>
        <w:t>的注册账号（免费注册）并获取招标文件(请根据项目所在地，登录对应的</w:t>
      </w:r>
      <w:r>
        <w:rPr>
          <w:rFonts w:hint="eastAsia" w:ascii="宋体" w:hAnsi="宋体" w:eastAsia="宋体" w:cs="宋体"/>
          <w:color w:val="000000"/>
          <w:kern w:val="2"/>
          <w:sz w:val="24"/>
          <w:szCs w:val="24"/>
          <w:lang w:eastAsia="zh-CN"/>
        </w:rPr>
        <w:t>福建省政府采购网上公开信息系统（自采平台）</w:t>
      </w:r>
      <w:r>
        <w:rPr>
          <w:rFonts w:hint="eastAsia" w:ascii="宋体" w:hAnsi="宋体" w:eastAsia="宋体" w:cs="宋体"/>
          <w:color w:val="000000"/>
          <w:kern w:val="2"/>
          <w:sz w:val="24"/>
          <w:szCs w:val="24"/>
        </w:rPr>
        <w:t>(即省本级网址/地市分网))，否则投标将被拒绝。</w:t>
      </w:r>
    </w:p>
    <w:p w14:paraId="797CF9B9">
      <w:pPr>
        <w:pStyle w:val="18"/>
        <w:widowControl/>
        <w:shd w:val="clear" w:color="auto" w:fill="FFFFFF"/>
        <w:spacing w:beforeAutospacing="0" w:afterAutospacing="0" w:line="480" w:lineRule="atLeas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6</w:t>
      </w:r>
      <w:r>
        <w:rPr>
          <w:rFonts w:hint="eastAsia" w:ascii="宋体" w:hAnsi="宋体" w:eastAsia="宋体" w:cs="宋体"/>
          <w:color w:val="000000"/>
          <w:kern w:val="2"/>
          <w:sz w:val="24"/>
          <w:szCs w:val="24"/>
        </w:rPr>
        <w:t>.3、获取地点及方式：注册账号后，通过</w:t>
      </w:r>
      <w:r>
        <w:rPr>
          <w:rFonts w:hint="eastAsia" w:ascii="宋体" w:hAnsi="宋体" w:eastAsia="宋体" w:cs="宋体"/>
          <w:color w:val="000000"/>
          <w:kern w:val="2"/>
          <w:sz w:val="24"/>
          <w:szCs w:val="24"/>
          <w:lang w:eastAsia="zh-CN"/>
        </w:rPr>
        <w:t>福建省政府采购网上公开信息系统（自采平台）</w:t>
      </w:r>
      <w:r>
        <w:rPr>
          <w:rFonts w:hint="eastAsia" w:ascii="宋体" w:hAnsi="宋体" w:eastAsia="宋体" w:cs="宋体"/>
          <w:color w:val="000000"/>
          <w:kern w:val="2"/>
          <w:sz w:val="24"/>
          <w:szCs w:val="24"/>
        </w:rPr>
        <w:t>以下载方式获取。</w:t>
      </w:r>
    </w:p>
    <w:p w14:paraId="3F715D49">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rPr>
      </w:pPr>
      <w:r>
        <w:rPr>
          <w:rFonts w:hint="eastAsia" w:ascii="宋体" w:hAnsi="宋体" w:eastAsia="宋体" w:cs="宋体"/>
          <w:color w:val="000000"/>
          <w:kern w:val="2"/>
          <w:sz w:val="24"/>
          <w:szCs w:val="24"/>
          <w:lang w:eastAsia="zh-CN"/>
        </w:rPr>
        <w:t>6</w:t>
      </w:r>
      <w:r>
        <w:rPr>
          <w:rFonts w:hint="eastAsia" w:ascii="宋体" w:hAnsi="宋体" w:eastAsia="宋体" w:cs="宋体"/>
          <w:color w:val="000000"/>
          <w:kern w:val="2"/>
          <w:sz w:val="24"/>
          <w:szCs w:val="24"/>
        </w:rPr>
        <w:t>.4、招标文件售价：0元。</w:t>
      </w:r>
    </w:p>
    <w:p w14:paraId="67C9961D">
      <w:pPr>
        <w:pStyle w:val="18"/>
        <w:widowControl/>
        <w:shd w:val="clear" w:color="auto" w:fill="FFFFFF"/>
        <w:spacing w:beforeAutospacing="0" w:afterAutospacing="0" w:line="480" w:lineRule="atLeast"/>
        <w:ind w:firstLine="482" w:firstLineChars="200"/>
        <w:outlineLvl w:val="9"/>
        <w:rPr>
          <w:rFonts w:hint="eastAsia" w:ascii="宋体" w:hAnsi="宋体" w:eastAsia="宋体" w:cs="宋体"/>
          <w:b/>
          <w:bCs/>
          <w:color w:val="000000"/>
          <w:kern w:val="2"/>
        </w:rPr>
      </w:pPr>
      <w:bookmarkStart w:id="8" w:name="_Toc1923"/>
      <w:r>
        <w:rPr>
          <w:rFonts w:hint="eastAsia" w:ascii="宋体" w:hAnsi="宋体" w:eastAsia="宋体" w:cs="宋体"/>
          <w:b/>
          <w:bCs/>
          <w:color w:val="000000"/>
          <w:kern w:val="2"/>
        </w:rPr>
        <w:t>7、投标截止</w:t>
      </w:r>
      <w:bookmarkEnd w:id="8"/>
    </w:p>
    <w:p w14:paraId="35D8E5D8">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highlight w:val="none"/>
        </w:rPr>
      </w:pPr>
      <w:r>
        <w:rPr>
          <w:rFonts w:hint="eastAsia" w:ascii="宋体" w:hAnsi="宋体" w:eastAsia="宋体" w:cs="宋体"/>
          <w:color w:val="000000"/>
          <w:kern w:val="2"/>
        </w:rPr>
        <w:t>7.1、</w:t>
      </w:r>
      <w:r>
        <w:rPr>
          <w:rFonts w:hint="eastAsia" w:ascii="宋体" w:hAnsi="宋体" w:eastAsia="宋体" w:cs="宋体"/>
          <w:color w:val="000000"/>
          <w:kern w:val="2"/>
          <w:sz w:val="24"/>
          <w:szCs w:val="24"/>
        </w:rPr>
        <w:t>投标截止时间：详见招标公告或更正公告，若不一致，以更正公告为准。</w:t>
      </w:r>
    </w:p>
    <w:p w14:paraId="35A8E95D">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highlight w:val="none"/>
        </w:rPr>
      </w:pPr>
      <w:r>
        <w:rPr>
          <w:rFonts w:hint="eastAsia" w:ascii="宋体" w:hAnsi="宋体" w:eastAsia="宋体" w:cs="宋体"/>
          <w:color w:val="000000"/>
          <w:kern w:val="2"/>
          <w:highlight w:val="none"/>
        </w:rPr>
        <w:t>7.2、</w:t>
      </w:r>
      <w:r>
        <w:rPr>
          <w:rFonts w:hint="eastAsia" w:ascii="宋体" w:hAnsi="宋体" w:eastAsia="宋体" w:cs="宋体"/>
          <w:color w:val="000000"/>
          <w:kern w:val="2"/>
          <w:sz w:val="24"/>
          <w:szCs w:val="24"/>
        </w:rPr>
        <w:t>投标人应在投标截止时间前按照</w:t>
      </w:r>
      <w:r>
        <w:rPr>
          <w:rFonts w:hint="eastAsia" w:ascii="宋体" w:hAnsi="宋体" w:eastAsia="宋体" w:cs="宋体"/>
          <w:color w:val="000000"/>
          <w:kern w:val="2"/>
          <w:sz w:val="24"/>
          <w:szCs w:val="24"/>
          <w:lang w:eastAsia="zh-CN"/>
        </w:rPr>
        <w:t>福建省政府采购网上公开信息系统（自采平台）</w:t>
      </w:r>
      <w:r>
        <w:rPr>
          <w:rFonts w:hint="eastAsia" w:ascii="宋体" w:hAnsi="宋体" w:eastAsia="宋体" w:cs="宋体"/>
          <w:color w:val="000000"/>
          <w:kern w:val="2"/>
          <w:sz w:val="24"/>
          <w:szCs w:val="24"/>
        </w:rPr>
        <w:t>设定的操作流程将电子投标文件上传至</w:t>
      </w:r>
      <w:r>
        <w:rPr>
          <w:rFonts w:hint="eastAsia" w:ascii="宋体" w:hAnsi="宋体" w:eastAsia="宋体" w:cs="宋体"/>
          <w:color w:val="000000"/>
          <w:kern w:val="2"/>
          <w:sz w:val="24"/>
          <w:szCs w:val="24"/>
          <w:lang w:eastAsia="zh-CN"/>
        </w:rPr>
        <w:t>福建省政府采购网上公开信息系统（自采平台）</w:t>
      </w:r>
      <w:r>
        <w:rPr>
          <w:rFonts w:hint="eastAsia" w:ascii="宋体" w:hAnsi="宋体" w:eastAsia="宋体" w:cs="宋体"/>
          <w:color w:val="000000"/>
          <w:kern w:val="2"/>
          <w:sz w:val="24"/>
          <w:szCs w:val="24"/>
        </w:rPr>
        <w:t>，否则投标将被拒绝。</w:t>
      </w:r>
    </w:p>
    <w:p w14:paraId="78F4FCD3">
      <w:pPr>
        <w:pStyle w:val="18"/>
        <w:widowControl/>
        <w:shd w:val="clear" w:color="auto" w:fill="FFFFFF"/>
        <w:spacing w:beforeAutospacing="0" w:afterAutospacing="0" w:line="480" w:lineRule="atLeast"/>
        <w:ind w:firstLine="482" w:firstLineChars="200"/>
        <w:outlineLvl w:val="9"/>
        <w:rPr>
          <w:rFonts w:hint="eastAsia" w:ascii="宋体" w:hAnsi="宋体" w:eastAsia="宋体" w:cs="宋体"/>
          <w:b/>
          <w:bCs/>
          <w:color w:val="000000"/>
          <w:kern w:val="2"/>
          <w:highlight w:val="none"/>
        </w:rPr>
      </w:pPr>
      <w:bookmarkStart w:id="9" w:name="_Toc26986"/>
      <w:r>
        <w:rPr>
          <w:rFonts w:hint="eastAsia" w:ascii="宋体" w:hAnsi="宋体" w:eastAsia="宋体" w:cs="宋体"/>
          <w:b/>
          <w:bCs/>
          <w:color w:val="000000"/>
          <w:kern w:val="2"/>
          <w:highlight w:val="none"/>
        </w:rPr>
        <w:t>8、开标时间及地点</w:t>
      </w:r>
      <w:bookmarkEnd w:id="9"/>
    </w:p>
    <w:p w14:paraId="388931B7">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sz w:val="24"/>
          <w:szCs w:val="24"/>
        </w:rPr>
        <w:t>详见招标公告或更正公告，若不一致，以更正公告为准。</w:t>
      </w:r>
    </w:p>
    <w:p w14:paraId="75235C2A">
      <w:pPr>
        <w:pStyle w:val="18"/>
        <w:widowControl/>
        <w:shd w:val="clear" w:color="auto" w:fill="FFFFFF"/>
        <w:spacing w:beforeAutospacing="0" w:afterAutospacing="0" w:line="480" w:lineRule="atLeast"/>
        <w:ind w:firstLine="480" w:firstLineChars="200"/>
        <w:outlineLvl w:val="9"/>
        <w:rPr>
          <w:rFonts w:hint="eastAsia" w:ascii="宋体" w:hAnsi="宋体" w:eastAsia="宋体" w:cs="宋体"/>
          <w:color w:val="000000"/>
          <w:kern w:val="2"/>
        </w:rPr>
      </w:pPr>
      <w:bookmarkStart w:id="10" w:name="_Toc24987"/>
      <w:r>
        <w:rPr>
          <w:rFonts w:hint="eastAsia" w:ascii="宋体" w:hAnsi="宋体" w:eastAsia="宋体" w:cs="宋体"/>
          <w:color w:val="000000"/>
          <w:kern w:val="2"/>
        </w:rPr>
        <w:t>9、公告期限</w:t>
      </w:r>
      <w:bookmarkEnd w:id="10"/>
    </w:p>
    <w:p w14:paraId="1EADEDC4">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9.1、招标公告的公告期限：自发布媒体最先发布公告之日起5个工作日。</w:t>
      </w:r>
    </w:p>
    <w:p w14:paraId="4962C310">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9.2、招标文件公告期限：招标文件随同招标公告一并发布，其公告期限与招标公告的公告期限保持一致。</w:t>
      </w:r>
    </w:p>
    <w:p w14:paraId="1431DFDD">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lang w:eastAsia="zh-CN"/>
        </w:rPr>
      </w:pPr>
      <w:bookmarkStart w:id="11" w:name="_Toc20168"/>
      <w:r>
        <w:rPr>
          <w:rFonts w:hint="eastAsia" w:ascii="宋体" w:hAnsi="宋体" w:eastAsia="宋体" w:cs="宋体"/>
          <w:color w:val="000000"/>
          <w:kern w:val="2"/>
        </w:rPr>
        <w:t>10、采购人：</w:t>
      </w:r>
      <w:bookmarkEnd w:id="11"/>
      <w:r>
        <w:rPr>
          <w:rFonts w:hint="eastAsia" w:ascii="宋体" w:hAnsi="宋体" w:eastAsia="宋体" w:cs="宋体"/>
          <w:color w:val="000000"/>
          <w:kern w:val="2"/>
          <w:lang w:eastAsia="zh-CN"/>
        </w:rPr>
        <w:t>福建省厦门监狱</w:t>
      </w:r>
    </w:p>
    <w:p w14:paraId="384CAB1B">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lang w:eastAsia="zh-CN"/>
        </w:rPr>
      </w:pPr>
      <w:r>
        <w:rPr>
          <w:rFonts w:hint="eastAsia" w:ascii="宋体" w:hAnsi="宋体" w:eastAsia="宋体" w:cs="宋体"/>
          <w:color w:val="000000"/>
          <w:kern w:val="2"/>
        </w:rPr>
        <w:t>地址：</w:t>
      </w:r>
      <w:r>
        <w:rPr>
          <w:rFonts w:hint="eastAsia" w:ascii="宋体" w:hAnsi="宋体" w:eastAsia="宋体" w:cs="宋体"/>
          <w:color w:val="000000"/>
          <w:kern w:val="2"/>
          <w:lang w:eastAsia="zh-CN"/>
        </w:rPr>
        <w:t>福建省厦门市同安区朝洋路815号</w:t>
      </w:r>
    </w:p>
    <w:p w14:paraId="391F12B9">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lang w:eastAsia="zh-CN"/>
        </w:rPr>
      </w:pPr>
      <w:r>
        <w:rPr>
          <w:rFonts w:hint="eastAsia" w:ascii="宋体" w:hAnsi="宋体" w:eastAsia="宋体" w:cs="宋体"/>
          <w:color w:val="000000"/>
          <w:kern w:val="2"/>
        </w:rPr>
        <w:t>邮编：</w:t>
      </w:r>
      <w:r>
        <w:rPr>
          <w:rFonts w:hint="eastAsia" w:ascii="宋体" w:hAnsi="宋体" w:eastAsia="宋体" w:cs="宋体"/>
          <w:color w:val="000000"/>
          <w:kern w:val="2"/>
          <w:lang w:eastAsia="zh-CN"/>
        </w:rPr>
        <w:t>361100</w:t>
      </w:r>
    </w:p>
    <w:p w14:paraId="7A2B54D7">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rPr>
        <w:t>联系人：赵警官</w:t>
      </w:r>
    </w:p>
    <w:p w14:paraId="3BF294DA">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联系电话：0592-7127295</w:t>
      </w:r>
    </w:p>
    <w:p w14:paraId="6FCBA80B">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bookmarkStart w:id="12" w:name="_Toc14255"/>
      <w:r>
        <w:rPr>
          <w:rFonts w:hint="eastAsia" w:ascii="宋体" w:hAnsi="宋体" w:eastAsia="宋体" w:cs="宋体"/>
          <w:color w:val="000000"/>
          <w:kern w:val="2"/>
        </w:rPr>
        <w:t>12、代理机构：福建省新卫招标代理有限公司</w:t>
      </w:r>
      <w:bookmarkEnd w:id="12"/>
    </w:p>
    <w:p w14:paraId="1CD3DDDC">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地址：福建省福州市鼓楼区西二环中路301号东南医药大楼6层</w:t>
      </w:r>
    </w:p>
    <w:p w14:paraId="053BA12F">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邮编：350025</w:t>
      </w:r>
    </w:p>
    <w:p w14:paraId="662B4866">
      <w:pPr>
        <w:pStyle w:val="18"/>
        <w:widowControl/>
        <w:shd w:val="clear" w:color="auto" w:fill="FFFFFF"/>
        <w:spacing w:beforeAutospacing="0" w:afterAutospacing="0" w:line="480" w:lineRule="atLeast"/>
        <w:ind w:firstLine="480" w:firstLineChars="200"/>
        <w:rPr>
          <w:rFonts w:hint="default" w:ascii="宋体" w:hAnsi="宋体" w:eastAsia="宋体" w:cs="宋体"/>
          <w:color w:val="000000"/>
          <w:kern w:val="2"/>
          <w:lang w:val="en-US" w:eastAsia="zh-CN"/>
        </w:rPr>
      </w:pPr>
      <w:r>
        <w:rPr>
          <w:rFonts w:hint="eastAsia" w:ascii="宋体" w:hAnsi="宋体" w:eastAsia="宋体" w:cs="宋体"/>
          <w:color w:val="000000"/>
          <w:kern w:val="2"/>
        </w:rPr>
        <w:t>联系人：蔡华凯、</w:t>
      </w:r>
      <w:r>
        <w:rPr>
          <w:rFonts w:hint="eastAsia" w:ascii="宋体" w:hAnsi="宋体" w:eastAsia="宋体" w:cs="宋体"/>
          <w:color w:val="000000"/>
          <w:kern w:val="2"/>
          <w:lang w:val="en-US" w:eastAsia="zh-CN"/>
        </w:rPr>
        <w:t>刘鼎埕、郑道铖</w:t>
      </w:r>
    </w:p>
    <w:p w14:paraId="01209312">
      <w:pPr>
        <w:pStyle w:val="18"/>
        <w:widowControl/>
        <w:shd w:val="clear" w:color="auto" w:fill="FFFFFF"/>
        <w:spacing w:beforeAutospacing="0" w:afterAutospacing="0" w:line="480" w:lineRule="atLeast"/>
        <w:ind w:firstLine="480" w:firstLineChars="200"/>
        <w:rPr>
          <w:rFonts w:hint="eastAsia" w:ascii="宋体" w:hAnsi="宋体" w:eastAsia="宋体" w:cs="宋体"/>
          <w:color w:val="000000"/>
          <w:kern w:val="2"/>
        </w:rPr>
      </w:pPr>
      <w:r>
        <w:rPr>
          <w:rFonts w:hint="eastAsia" w:ascii="宋体" w:hAnsi="宋体" w:eastAsia="宋体" w:cs="宋体"/>
          <w:color w:val="000000"/>
          <w:kern w:val="2"/>
        </w:rPr>
        <w:t>联系电话：0591-87807330</w:t>
      </w:r>
    </w:p>
    <w:p w14:paraId="34A5E1A7">
      <w:pPr>
        <w:rPr>
          <w:rFonts w:hint="eastAsia" w:ascii="宋体" w:hAnsi="宋体" w:eastAsia="宋体" w:cs="宋体"/>
          <w:b/>
          <w:bCs/>
          <w:color w:val="333333"/>
          <w:sz w:val="24"/>
          <w:shd w:val="clear" w:color="auto" w:fill="FFFFFF"/>
        </w:rPr>
      </w:pPr>
      <w:bookmarkStart w:id="13" w:name="_Toc9077"/>
      <w:r>
        <w:rPr>
          <w:rFonts w:hint="eastAsia" w:ascii="宋体" w:hAnsi="宋体" w:eastAsia="宋体" w:cs="宋体"/>
          <w:b/>
          <w:bCs/>
          <w:color w:val="333333"/>
          <w:sz w:val="24"/>
          <w:shd w:val="clear" w:color="auto" w:fill="FFFFFF"/>
        </w:rPr>
        <w:br w:type="page"/>
      </w:r>
    </w:p>
    <w:p w14:paraId="11363B47">
      <w:pPr>
        <w:ind w:firstLine="241" w:firstLineChars="100"/>
        <w:outlineLvl w:val="1"/>
        <w:rPr>
          <w:rFonts w:hint="eastAsia" w:ascii="宋体" w:hAnsi="宋体" w:eastAsia="宋体" w:cs="宋体"/>
          <w:b/>
          <w:bCs/>
          <w:color w:val="333333"/>
          <w:sz w:val="24"/>
          <w:shd w:val="clear" w:color="auto" w:fill="FFFFFF"/>
        </w:rPr>
      </w:pPr>
      <w:bookmarkStart w:id="14" w:name="_Toc7683"/>
      <w:r>
        <w:rPr>
          <w:rFonts w:hint="eastAsia" w:ascii="宋体" w:hAnsi="宋体" w:eastAsia="宋体" w:cs="宋体"/>
          <w:b/>
          <w:bCs/>
          <w:color w:val="333333"/>
          <w:sz w:val="24"/>
          <w:shd w:val="clear" w:color="auto" w:fill="FFFFFF"/>
        </w:rPr>
        <w:t>附1：账户信息</w:t>
      </w:r>
      <w:bookmarkEnd w:id="13"/>
      <w:bookmarkEnd w:id="14"/>
    </w:p>
    <w:p w14:paraId="7BF1033C">
      <w:pPr>
        <w:rPr>
          <w:rFonts w:hint="eastAsia" w:ascii="宋体" w:hAnsi="宋体" w:eastAsia="宋体" w:cs="宋体"/>
          <w:b/>
          <w:bCs/>
          <w:color w:val="333333"/>
          <w:sz w:val="24"/>
          <w:shd w:val="clear" w:color="auto" w:fill="FFFFFF"/>
        </w:rPr>
      </w:pP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7134"/>
      </w:tblGrid>
      <w:tr w14:paraId="790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9" w:type="pct"/>
            <w:vMerge w:val="restart"/>
            <w:vAlign w:val="center"/>
          </w:tcPr>
          <w:p w14:paraId="3B7C4CA6">
            <w:pPr>
              <w:jc w:val="center"/>
              <w:rPr>
                <w:rFonts w:hint="eastAsia" w:ascii="宋体" w:hAnsi="宋体" w:eastAsia="宋体" w:cs="宋体"/>
                <w:sz w:val="24"/>
              </w:rPr>
            </w:pPr>
            <w:r>
              <w:rPr>
                <w:rFonts w:hint="eastAsia" w:ascii="宋体" w:hAnsi="宋体" w:eastAsia="宋体" w:cs="宋体"/>
                <w:b/>
                <w:bCs/>
                <w:sz w:val="24"/>
              </w:rPr>
              <w:t>投标保证金及代理服务费缴纳账户信息</w:t>
            </w:r>
          </w:p>
        </w:tc>
        <w:tc>
          <w:tcPr>
            <w:tcW w:w="3620" w:type="pct"/>
          </w:tcPr>
          <w:p w14:paraId="1E6C6F94">
            <w:pPr>
              <w:spacing w:line="480" w:lineRule="exact"/>
              <w:ind w:firstLine="240" w:firstLineChars="100"/>
              <w:rPr>
                <w:rFonts w:hint="eastAsia" w:ascii="宋体" w:hAnsi="宋体" w:eastAsia="宋体" w:cs="宋体"/>
                <w:sz w:val="24"/>
              </w:rPr>
            </w:pPr>
            <w:r>
              <w:rPr>
                <w:rFonts w:hint="eastAsia" w:ascii="宋体" w:hAnsi="宋体" w:eastAsia="宋体" w:cs="宋体"/>
                <w:sz w:val="24"/>
              </w:rPr>
              <w:t>开户名称：福建省新卫招标代理有限公司</w:t>
            </w:r>
          </w:p>
        </w:tc>
      </w:tr>
      <w:tr w14:paraId="2DCF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9" w:type="pct"/>
            <w:vMerge w:val="continue"/>
            <w:vAlign w:val="center"/>
          </w:tcPr>
          <w:p w14:paraId="1354351F">
            <w:pPr>
              <w:widowControl/>
              <w:spacing w:line="480" w:lineRule="exact"/>
              <w:jc w:val="left"/>
              <w:rPr>
                <w:rFonts w:hint="eastAsia" w:ascii="宋体" w:hAnsi="宋体" w:eastAsia="宋体" w:cs="宋体"/>
                <w:sz w:val="24"/>
              </w:rPr>
            </w:pPr>
          </w:p>
        </w:tc>
        <w:tc>
          <w:tcPr>
            <w:tcW w:w="3620" w:type="pct"/>
          </w:tcPr>
          <w:p w14:paraId="579662B3">
            <w:pPr>
              <w:spacing w:line="480" w:lineRule="exact"/>
              <w:ind w:firstLine="240" w:firstLineChars="100"/>
              <w:rPr>
                <w:rFonts w:hint="eastAsia" w:ascii="宋体" w:hAnsi="宋体" w:eastAsia="宋体" w:cs="宋体"/>
                <w:sz w:val="24"/>
              </w:rPr>
            </w:pPr>
            <w:r>
              <w:rPr>
                <w:rFonts w:hint="eastAsia" w:ascii="宋体" w:hAnsi="宋体" w:eastAsia="宋体" w:cs="宋体"/>
                <w:sz w:val="24"/>
              </w:rPr>
              <w:t>开户银行：中国光大银行福州南门支行</w:t>
            </w:r>
          </w:p>
        </w:tc>
      </w:tr>
      <w:tr w14:paraId="5FC3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9" w:type="pct"/>
            <w:vMerge w:val="continue"/>
            <w:vAlign w:val="center"/>
          </w:tcPr>
          <w:p w14:paraId="1B67C1AC">
            <w:pPr>
              <w:widowControl/>
              <w:spacing w:line="480" w:lineRule="exact"/>
              <w:jc w:val="left"/>
              <w:rPr>
                <w:rFonts w:hint="eastAsia" w:ascii="宋体" w:hAnsi="宋体" w:eastAsia="宋体" w:cs="宋体"/>
                <w:sz w:val="24"/>
              </w:rPr>
            </w:pPr>
          </w:p>
        </w:tc>
        <w:tc>
          <w:tcPr>
            <w:tcW w:w="3620" w:type="pct"/>
          </w:tcPr>
          <w:p w14:paraId="7BD13698">
            <w:pPr>
              <w:spacing w:line="480" w:lineRule="exact"/>
              <w:ind w:firstLine="240" w:firstLineChars="100"/>
              <w:rPr>
                <w:rFonts w:hint="eastAsia" w:ascii="宋体" w:hAnsi="宋体" w:eastAsia="宋体" w:cs="宋体"/>
                <w:sz w:val="24"/>
              </w:rPr>
            </w:pPr>
            <w:r>
              <w:rPr>
                <w:rFonts w:hint="eastAsia" w:ascii="宋体" w:hAnsi="宋体" w:eastAsia="宋体" w:cs="宋体"/>
                <w:sz w:val="24"/>
              </w:rPr>
              <w:t>账    号：7736 0188 0000 28873</w:t>
            </w:r>
          </w:p>
        </w:tc>
      </w:tr>
    </w:tbl>
    <w:p w14:paraId="782045F4">
      <w:pPr>
        <w:rPr>
          <w:rFonts w:hint="eastAsia" w:ascii="宋体" w:hAnsi="宋体" w:eastAsia="宋体" w:cs="宋体"/>
          <w:b/>
          <w:bCs/>
          <w:color w:val="333333"/>
          <w:szCs w:val="21"/>
          <w:shd w:val="clear" w:color="auto" w:fill="FFFFFF"/>
        </w:rPr>
      </w:pPr>
    </w:p>
    <w:p w14:paraId="76F8BA6C">
      <w:pPr>
        <w:ind w:firstLine="241" w:firstLineChars="100"/>
        <w:outlineLvl w:val="1"/>
        <w:rPr>
          <w:rFonts w:hint="eastAsia" w:ascii="宋体" w:hAnsi="宋体" w:eastAsia="宋体" w:cs="宋体"/>
          <w:b/>
          <w:bCs/>
          <w:color w:val="000000"/>
          <w:sz w:val="24"/>
        </w:rPr>
      </w:pPr>
      <w:bookmarkStart w:id="15" w:name="_Toc9096"/>
      <w:r>
        <w:rPr>
          <w:rFonts w:hint="eastAsia" w:ascii="宋体" w:hAnsi="宋体" w:eastAsia="宋体" w:cs="宋体"/>
          <w:b/>
          <w:bCs/>
          <w:color w:val="000000"/>
          <w:sz w:val="24"/>
        </w:rPr>
        <w:t>附2：采购标的一览表</w:t>
      </w:r>
      <w:bookmarkEnd w:id="15"/>
    </w:p>
    <w:p w14:paraId="0B2C9191"/>
    <w:p w14:paraId="4E3DCE3A">
      <w:pPr>
        <w:jc w:val="right"/>
        <w:rPr>
          <w:sz w:val="24"/>
        </w:rPr>
      </w:pPr>
      <w:r>
        <w:rPr>
          <w:rFonts w:hint="eastAsia" w:ascii="宋体" w:hAnsi="宋体" w:eastAsia="宋体" w:cs="宋体"/>
          <w:color w:val="000000"/>
          <w:sz w:val="24"/>
        </w:rPr>
        <w:t>金额单位：人民币元</w:t>
      </w:r>
    </w:p>
    <w:tbl>
      <w:tblPr>
        <w:tblStyle w:val="2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2"/>
        <w:gridCol w:w="699"/>
        <w:gridCol w:w="2038"/>
        <w:gridCol w:w="1003"/>
        <w:gridCol w:w="547"/>
        <w:gridCol w:w="1026"/>
        <w:gridCol w:w="1026"/>
        <w:gridCol w:w="1069"/>
        <w:gridCol w:w="940"/>
        <w:gridCol w:w="918"/>
      </w:tblGrid>
      <w:tr w14:paraId="2FF14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26317C">
            <w:pPr>
              <w:jc w:val="center"/>
              <w:rPr>
                <w:rFonts w:hint="eastAsia" w:ascii="宋体" w:hAnsi="宋体" w:eastAsia="宋体" w:cs="宋体"/>
                <w:b/>
                <w:bCs/>
                <w:color w:val="000000"/>
                <w:sz w:val="24"/>
              </w:rPr>
            </w:pPr>
            <w:r>
              <w:rPr>
                <w:rFonts w:hint="eastAsia" w:ascii="宋体" w:hAnsi="宋体" w:eastAsia="宋体" w:cs="宋体"/>
                <w:b/>
                <w:bCs/>
                <w:color w:val="000000"/>
                <w:sz w:val="24"/>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42B6F4">
            <w:pPr>
              <w:jc w:val="center"/>
              <w:rPr>
                <w:rFonts w:hint="eastAsia" w:ascii="宋体" w:hAnsi="宋体" w:eastAsia="宋体" w:cs="宋体"/>
                <w:b/>
                <w:bCs/>
                <w:color w:val="000000"/>
                <w:sz w:val="24"/>
              </w:rPr>
            </w:pPr>
            <w:r>
              <w:rPr>
                <w:rFonts w:hint="eastAsia" w:ascii="宋体" w:hAnsi="宋体" w:eastAsia="宋体" w:cs="宋体"/>
                <w:b/>
                <w:bCs/>
                <w:color w:val="000000"/>
                <w:sz w:val="24"/>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7FCF2C">
            <w:pPr>
              <w:jc w:val="center"/>
              <w:rPr>
                <w:rFonts w:hint="eastAsia" w:ascii="宋体" w:hAnsi="宋体" w:eastAsia="宋体" w:cs="宋体"/>
                <w:b/>
                <w:bCs/>
                <w:color w:val="000000"/>
                <w:sz w:val="24"/>
              </w:rPr>
            </w:pPr>
            <w:r>
              <w:rPr>
                <w:rFonts w:hint="eastAsia" w:ascii="宋体" w:hAnsi="宋体" w:eastAsia="宋体" w:cs="宋体"/>
                <w:b/>
                <w:bCs/>
                <w:color w:val="000000"/>
                <w:sz w:val="24"/>
              </w:rPr>
              <w:t>品目编码及品目名称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B7FB8B">
            <w:pPr>
              <w:jc w:val="center"/>
              <w:rPr>
                <w:rFonts w:hint="eastAsia" w:ascii="宋体" w:hAnsi="宋体" w:eastAsia="宋体" w:cs="宋体"/>
                <w:b/>
                <w:bCs/>
                <w:color w:val="000000"/>
                <w:sz w:val="24"/>
              </w:rPr>
            </w:pPr>
            <w:r>
              <w:rPr>
                <w:rFonts w:hint="eastAsia" w:ascii="宋体" w:hAnsi="宋体" w:eastAsia="宋体" w:cs="宋体"/>
                <w:b/>
                <w:bCs/>
                <w:color w:val="000000"/>
                <w:sz w:val="24"/>
              </w:rPr>
              <w:t>采购标的名称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7F73A1">
            <w:pPr>
              <w:jc w:val="center"/>
              <w:rPr>
                <w:rFonts w:hint="eastAsia" w:ascii="宋体" w:hAnsi="宋体" w:eastAsia="宋体" w:cs="宋体"/>
                <w:b/>
                <w:bCs/>
                <w:color w:val="000000"/>
                <w:sz w:val="24"/>
              </w:rPr>
            </w:pPr>
            <w:r>
              <w:rPr>
                <w:rFonts w:hint="eastAsia" w:ascii="宋体" w:hAnsi="宋体" w:eastAsia="宋体" w:cs="宋体"/>
                <w:b/>
                <w:bCs/>
                <w:color w:val="000000"/>
                <w:sz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B2E80F">
            <w:pPr>
              <w:jc w:val="center"/>
              <w:rPr>
                <w:rFonts w:hint="eastAsia" w:ascii="宋体" w:hAnsi="宋体" w:eastAsia="宋体" w:cs="宋体"/>
                <w:b/>
                <w:bCs/>
                <w:color w:val="000000"/>
                <w:sz w:val="24"/>
              </w:rPr>
            </w:pPr>
            <w:r>
              <w:rPr>
                <w:rFonts w:hint="eastAsia" w:ascii="宋体" w:hAnsi="宋体" w:eastAsia="宋体" w:cs="宋体"/>
                <w:b/>
                <w:bCs/>
                <w:color w:val="000000"/>
                <w:sz w:val="24"/>
              </w:rPr>
              <w:t xml:space="preserve">预算金额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2B334C">
            <w:pPr>
              <w:jc w:val="center"/>
              <w:rPr>
                <w:rFonts w:hint="eastAsia" w:ascii="宋体" w:hAnsi="宋体" w:eastAsia="宋体" w:cs="宋体"/>
                <w:b/>
                <w:bCs/>
                <w:color w:val="000000"/>
                <w:sz w:val="24"/>
              </w:rPr>
            </w:pPr>
            <w:r>
              <w:rPr>
                <w:rFonts w:hint="eastAsia" w:ascii="宋体" w:hAnsi="宋体" w:eastAsia="宋体" w:cs="宋体"/>
                <w:b/>
                <w:bCs/>
                <w:color w:val="000000"/>
                <w:sz w:val="24"/>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B45EB3">
            <w:pPr>
              <w:jc w:val="center"/>
              <w:rPr>
                <w:rFonts w:hint="eastAsia" w:ascii="宋体" w:hAnsi="宋体" w:eastAsia="宋体" w:cs="宋体"/>
                <w:b/>
                <w:bCs/>
                <w:color w:val="000000"/>
                <w:sz w:val="24"/>
              </w:rPr>
            </w:pPr>
            <w:r>
              <w:rPr>
                <w:rFonts w:hint="eastAsia" w:ascii="宋体" w:hAnsi="宋体" w:eastAsia="宋体" w:cs="宋体"/>
                <w:b/>
                <w:bCs/>
                <w:color w:val="000000"/>
                <w:sz w:val="24"/>
              </w:rPr>
              <w:t>所属行业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B1473B">
            <w:pPr>
              <w:jc w:val="center"/>
              <w:rPr>
                <w:rFonts w:hint="eastAsia" w:ascii="宋体" w:hAnsi="宋体" w:eastAsia="宋体" w:cs="宋体"/>
                <w:b/>
                <w:bCs/>
                <w:color w:val="000000"/>
                <w:sz w:val="24"/>
              </w:rPr>
            </w:pPr>
            <w:r>
              <w:rPr>
                <w:rFonts w:hint="eastAsia" w:ascii="宋体" w:hAnsi="宋体" w:eastAsia="宋体" w:cs="宋体"/>
                <w:b/>
                <w:bCs/>
                <w:color w:val="000000"/>
                <w:sz w:val="24"/>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FC37BA">
            <w:pPr>
              <w:jc w:val="center"/>
              <w:rPr>
                <w:rFonts w:hint="eastAsia" w:ascii="宋体" w:hAnsi="宋体" w:eastAsia="宋体" w:cs="宋体"/>
                <w:b/>
                <w:bCs/>
                <w:color w:val="000000"/>
                <w:sz w:val="24"/>
              </w:rPr>
            </w:pPr>
            <w:r>
              <w:rPr>
                <w:rFonts w:hint="eastAsia" w:ascii="宋体" w:hAnsi="宋体" w:eastAsia="宋体" w:cs="宋体"/>
                <w:b/>
                <w:bCs/>
                <w:sz w:val="24"/>
                <w:shd w:val="clear" w:color="auto" w:fill="FFFFFF"/>
              </w:rPr>
              <w:t>投标保证金</w:t>
            </w:r>
          </w:p>
        </w:tc>
      </w:tr>
      <w:tr w14:paraId="47920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189B95">
            <w:pPr>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DA9E8C">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256831">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C16010302－行业应用软件开发服务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84846C">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软件开发及配套设备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0F25E6">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1项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3C6483">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611000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07C026">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611000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EF7E59">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8F5011">
            <w:pPr>
              <w:jc w:val="center"/>
              <w:rPr>
                <w:rFonts w:hint="eastAsia" w:ascii="宋体" w:hAnsi="宋体" w:eastAsia="宋体" w:cs="宋体"/>
                <w:color w:val="000000"/>
                <w:sz w:val="24"/>
              </w:rPr>
            </w:pPr>
            <w:r>
              <w:rPr>
                <w:rFonts w:hint="eastAsia" w:ascii="宋体" w:hAnsi="宋体" w:eastAsia="宋体" w:cs="宋体"/>
                <w:color w:val="000000"/>
                <w:sz w:val="24"/>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369A30">
            <w:pPr>
              <w:jc w:val="center"/>
              <w:rPr>
                <w:rFonts w:hint="default" w:ascii="宋体" w:hAnsi="宋体" w:eastAsia="宋体" w:cs="宋体"/>
                <w:color w:val="000000"/>
                <w:sz w:val="24"/>
                <w:lang w:val="en-US" w:eastAsia="zh-CN"/>
              </w:rPr>
            </w:pPr>
            <w:bookmarkStart w:id="47" w:name="_GoBack"/>
            <w:r>
              <w:rPr>
                <w:rFonts w:hint="eastAsia" w:ascii="宋体" w:hAnsi="宋体" w:eastAsia="宋体" w:cs="宋体"/>
                <w:color w:val="000000"/>
                <w:sz w:val="24"/>
                <w:lang w:val="en-US" w:eastAsia="zh-CN"/>
              </w:rPr>
              <w:t>6110</w:t>
            </w:r>
            <w:bookmarkEnd w:id="47"/>
          </w:p>
        </w:tc>
      </w:tr>
    </w:tbl>
    <w:p w14:paraId="2977924D">
      <w:pPr>
        <w:pStyle w:val="18"/>
        <w:widowControl/>
        <w:shd w:val="clear" w:color="auto" w:fill="FFFFFF"/>
        <w:spacing w:beforeAutospacing="0" w:afterAutospacing="0" w:line="480" w:lineRule="atLeast"/>
        <w:rPr>
          <w:rFonts w:hint="eastAsia" w:ascii="宋体" w:hAnsi="宋体" w:eastAsia="宋体" w:cs="宋体"/>
          <w:color w:val="000000"/>
          <w:kern w:val="2"/>
        </w:rPr>
      </w:pPr>
    </w:p>
    <w:p w14:paraId="0AC9702A">
      <w:pPr>
        <w:rPr>
          <w:rStyle w:val="26"/>
          <w:rFonts w:hint="eastAsia" w:ascii="宋体" w:hAnsi="宋体" w:eastAsia="宋体" w:cs="宋体"/>
          <w:bCs/>
          <w:color w:val="000000"/>
          <w:sz w:val="32"/>
          <w:szCs w:val="32"/>
        </w:rPr>
      </w:pPr>
      <w:r>
        <w:rPr>
          <w:rStyle w:val="26"/>
          <w:rFonts w:hint="eastAsia" w:ascii="宋体" w:hAnsi="宋体" w:eastAsia="宋体" w:cs="宋体"/>
          <w:bCs/>
          <w:color w:val="000000"/>
          <w:sz w:val="32"/>
          <w:szCs w:val="32"/>
        </w:rPr>
        <w:br w:type="page"/>
      </w:r>
    </w:p>
    <w:p w14:paraId="2ADB0BA2">
      <w:pPr>
        <w:widowControl/>
        <w:shd w:val="clear" w:color="auto" w:fill="FFFFFF"/>
        <w:jc w:val="center"/>
        <w:outlineLvl w:val="0"/>
        <w:rPr>
          <w:rStyle w:val="26"/>
          <w:rFonts w:hint="eastAsia" w:ascii="宋体" w:hAnsi="宋体" w:eastAsia="宋体" w:cs="宋体"/>
          <w:bCs/>
          <w:color w:val="000000"/>
          <w:sz w:val="32"/>
          <w:szCs w:val="32"/>
        </w:rPr>
      </w:pPr>
      <w:bookmarkStart w:id="16" w:name="_Toc24910"/>
      <w:r>
        <w:rPr>
          <w:rStyle w:val="26"/>
          <w:rFonts w:hint="eastAsia" w:ascii="宋体" w:hAnsi="宋体" w:eastAsia="宋体" w:cs="宋体"/>
          <w:bCs/>
          <w:color w:val="000000"/>
          <w:sz w:val="32"/>
          <w:szCs w:val="32"/>
        </w:rPr>
        <w:t>第二章 投标人须知前附表</w:t>
      </w:r>
      <w:bookmarkEnd w:id="16"/>
    </w:p>
    <w:p w14:paraId="54F4BFE8">
      <w:pPr>
        <w:widowControl/>
        <w:shd w:val="clear" w:color="auto" w:fill="FFFFFF"/>
        <w:outlineLvl w:val="9"/>
        <w:rPr>
          <w:rFonts w:hint="eastAsia" w:ascii="宋体" w:hAnsi="宋体" w:eastAsia="宋体" w:cs="宋体"/>
          <w:b/>
          <w:bCs/>
          <w:color w:val="000000"/>
          <w:sz w:val="24"/>
        </w:rPr>
      </w:pPr>
      <w:bookmarkStart w:id="17" w:name="_Toc19129"/>
      <w:r>
        <w:rPr>
          <w:rFonts w:hint="eastAsia" w:ascii="宋体" w:hAnsi="宋体" w:eastAsia="宋体" w:cs="宋体"/>
          <w:b/>
          <w:bCs/>
          <w:color w:val="000000"/>
          <w:sz w:val="24"/>
        </w:rPr>
        <w:t>一、投标人须知前附表1</w:t>
      </w:r>
      <w:bookmarkEnd w:id="17"/>
    </w:p>
    <w:tbl>
      <w:tblPr>
        <w:tblStyle w:val="23"/>
        <w:tblW w:w="5000" w:type="pct"/>
        <w:tblInd w:w="0" w:type="dxa"/>
        <w:shd w:val="clear" w:color="auto" w:fill="FFFFFF"/>
        <w:tblLayout w:type="autofit"/>
        <w:tblCellMar>
          <w:top w:w="0" w:type="dxa"/>
          <w:left w:w="0" w:type="dxa"/>
          <w:bottom w:w="0" w:type="dxa"/>
          <w:right w:w="0" w:type="dxa"/>
        </w:tblCellMar>
      </w:tblPr>
      <w:tblGrid>
        <w:gridCol w:w="549"/>
        <w:gridCol w:w="1600"/>
        <w:gridCol w:w="7729"/>
      </w:tblGrid>
      <w:tr w14:paraId="580CB809">
        <w:tblPrEx>
          <w:tblCellMar>
            <w:top w:w="0" w:type="dxa"/>
            <w:left w:w="0" w:type="dxa"/>
            <w:bottom w:w="0" w:type="dxa"/>
            <w:right w:w="0" w:type="dxa"/>
          </w:tblCellMar>
        </w:tblPrEx>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EBF6EC9">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特别提示：本表与招标文件对应章节的内容若不一致，以本表为准。</w:t>
            </w:r>
          </w:p>
        </w:tc>
      </w:tr>
      <w:tr w14:paraId="319D70AA">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C92CC83">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序号</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1180570">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招标文件</w:t>
            </w:r>
          </w:p>
          <w:p w14:paraId="52717B74">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（第三章）</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441F2C9">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编列内容</w:t>
            </w:r>
          </w:p>
        </w:tc>
      </w:tr>
      <w:tr w14:paraId="32334D17">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6078BA0">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4FFF661">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6.1</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2D12023">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是否组织现场考察或召开开标前答疑会：</w:t>
            </w:r>
            <w:r>
              <w:rPr>
                <w:rFonts w:hint="eastAsia" w:ascii="宋体" w:hAnsi="宋体" w:eastAsia="宋体" w:cs="宋体"/>
                <w:color w:val="000000"/>
                <w:kern w:val="2"/>
              </w:rPr>
              <w:t>采购包1：</w:t>
            </w:r>
            <w:r>
              <w:rPr>
                <w:rFonts w:hint="eastAsia" w:ascii="宋体" w:hAnsi="宋体" w:eastAsia="宋体" w:cs="宋体"/>
                <w:color w:val="000000"/>
                <w:kern w:val="2"/>
                <w:lang w:val="en-US" w:eastAsia="zh-CN"/>
              </w:rPr>
              <w:t>不</w:t>
            </w:r>
            <w:r>
              <w:rPr>
                <w:rFonts w:hint="eastAsia" w:ascii="宋体" w:hAnsi="宋体" w:eastAsia="宋体" w:cs="宋体"/>
                <w:color w:val="000000"/>
              </w:rPr>
              <w:t>组织</w:t>
            </w:r>
            <w:r>
              <w:rPr>
                <w:rFonts w:hint="eastAsia" w:cs="宋体"/>
              </w:rPr>
              <w:t>。</w:t>
            </w:r>
          </w:p>
        </w:tc>
      </w:tr>
      <w:tr w14:paraId="63E7DC52">
        <w:tblPrEx>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D08A3CD">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2</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708D757">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10.4</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2900D3C">
            <w:pPr>
              <w:pStyle w:val="18"/>
              <w:widowControl/>
              <w:snapToGrid w:val="0"/>
              <w:spacing w:beforeAutospacing="0" w:afterAutospacing="0" w:line="500" w:lineRule="atLeast"/>
              <w:rPr>
                <w:rFonts w:hint="eastAsia" w:ascii="宋体" w:hAnsi="宋体" w:eastAsia="宋体" w:cs="宋体"/>
                <w:b/>
                <w:bCs/>
                <w:color w:val="000000"/>
              </w:rPr>
            </w:pPr>
            <w:r>
              <w:rPr>
                <w:rFonts w:hint="eastAsia" w:ascii="宋体" w:hAnsi="宋体" w:eastAsia="宋体" w:cs="宋体"/>
                <w:b/>
                <w:bCs/>
                <w:color w:val="000000"/>
              </w:rPr>
              <w:t>投标文件的份数：</w:t>
            </w:r>
          </w:p>
          <w:p w14:paraId="0C7447F5">
            <w:pPr>
              <w:pStyle w:val="18"/>
              <w:widowControl/>
              <w:snapToGrid w:val="0"/>
              <w:spacing w:beforeAutospacing="0" w:afterAutospacing="0" w:line="500" w:lineRule="atLeast"/>
              <w:jc w:val="left"/>
              <w:rPr>
                <w:rFonts w:hint="eastAsia" w:ascii="宋体" w:hAnsi="宋体" w:eastAsia="宋体" w:cs="宋体"/>
                <w:color w:val="000000"/>
              </w:rPr>
            </w:pPr>
            <w:r>
              <w:rPr>
                <w:rFonts w:hint="eastAsia" w:ascii="宋体" w:hAnsi="宋体" w:eastAsia="宋体" w:cs="宋体"/>
                <w:color w:val="000000"/>
              </w:rPr>
              <w:t>（1）可读介质（光盘或U盘）0份：投标人应将其上传至</w:t>
            </w:r>
            <w:r>
              <w:rPr>
                <w:rFonts w:hint="eastAsia" w:ascii="宋体" w:hAnsi="宋体" w:eastAsia="宋体" w:cs="宋体"/>
                <w:color w:val="000000"/>
                <w:lang w:eastAsia="zh-CN"/>
              </w:rPr>
              <w:t>福建省政府采购网上公开信息系统（自采平台）</w:t>
            </w:r>
            <w:r>
              <w:rPr>
                <w:rFonts w:hint="eastAsia" w:ascii="宋体" w:hAnsi="宋体" w:eastAsia="宋体" w:cs="宋体"/>
                <w:color w:val="000000"/>
              </w:rPr>
              <w:t>的电子投标文件在该可读介质中另存0份。</w:t>
            </w:r>
          </w:p>
          <w:p w14:paraId="7231A7FE">
            <w:pPr>
              <w:pStyle w:val="18"/>
              <w:widowControl/>
              <w:snapToGrid w:val="0"/>
              <w:spacing w:beforeAutospacing="0" w:afterAutospacing="0" w:line="500" w:lineRule="atLeast"/>
              <w:rPr>
                <w:rFonts w:hint="eastAsia" w:ascii="宋体" w:hAnsi="宋体" w:eastAsia="宋体" w:cs="宋体"/>
                <w:color w:val="000000"/>
              </w:rPr>
            </w:pPr>
            <w:r>
              <w:rPr>
                <w:rFonts w:hint="eastAsia" w:ascii="宋体" w:hAnsi="宋体" w:eastAsia="宋体" w:cs="宋体"/>
                <w:color w:val="000000"/>
              </w:rPr>
              <w:t>（2）电子投标文件：详见投标人须知前附表2《关于电子招标投标活动的专门规定》。</w:t>
            </w:r>
          </w:p>
        </w:tc>
      </w:tr>
      <w:tr w14:paraId="69CAB29F">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15AFC95">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3</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F71E482">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10.7-（1）</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F63842C">
            <w:pPr>
              <w:pStyle w:val="18"/>
              <w:widowControl/>
              <w:snapToGrid w:val="0"/>
              <w:spacing w:beforeAutospacing="0" w:afterAutospacing="0" w:line="500" w:lineRule="atLeast"/>
              <w:jc w:val="both"/>
              <w:rPr>
                <w:rFonts w:hint="eastAsia" w:ascii="宋体" w:hAnsi="宋体" w:eastAsia="宋体" w:cs="宋体"/>
                <w:b/>
                <w:bCs/>
                <w:color w:val="000000"/>
              </w:rPr>
            </w:pPr>
            <w:r>
              <w:rPr>
                <w:rFonts w:hint="eastAsia" w:ascii="宋体" w:hAnsi="宋体" w:eastAsia="宋体" w:cs="宋体"/>
                <w:b/>
                <w:bCs/>
                <w:color w:val="000000"/>
              </w:rPr>
              <w:t>是否允许中标人将本项目的非主体、非关键性工作进行分包：</w:t>
            </w:r>
          </w:p>
          <w:p w14:paraId="11F4D2A3">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kern w:val="2"/>
              </w:rPr>
              <w:t>采购包1</w:t>
            </w:r>
            <w:r>
              <w:rPr>
                <w:rFonts w:hint="eastAsia" w:ascii="宋体" w:hAnsi="宋体" w:eastAsia="宋体" w:cs="宋体"/>
                <w:color w:val="000000"/>
              </w:rPr>
              <w:t>：不允许合同分包；</w:t>
            </w:r>
          </w:p>
        </w:tc>
      </w:tr>
      <w:tr w14:paraId="46BF0607">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A8B0D3F">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4</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54E28CD">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10.8-（1）</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998BF1C">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b/>
                <w:bCs/>
                <w:color w:val="000000"/>
              </w:rPr>
              <w:t>投标有效期：</w:t>
            </w:r>
            <w:r>
              <w:rPr>
                <w:rFonts w:hint="eastAsia" w:ascii="宋体" w:hAnsi="宋体" w:eastAsia="宋体" w:cs="宋体"/>
                <w:color w:val="000000"/>
              </w:rPr>
              <w:t>投标截止时间起90个日历日。</w:t>
            </w:r>
          </w:p>
        </w:tc>
      </w:tr>
      <w:tr w14:paraId="5B498B88">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E12552C">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5</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F61D3D7">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12.1</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14B495A">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b/>
                <w:bCs/>
                <w:color w:val="000000"/>
              </w:rPr>
              <w:t>确定中标候选人名单：</w:t>
            </w:r>
            <w:r>
              <w:rPr>
                <w:rFonts w:hint="eastAsia" w:ascii="宋体" w:hAnsi="宋体" w:eastAsia="宋体" w:cs="宋体"/>
                <w:color w:val="000000"/>
                <w:kern w:val="2"/>
              </w:rPr>
              <w:t>采购包1</w:t>
            </w:r>
            <w:r>
              <w:rPr>
                <w:rFonts w:hint="eastAsia" w:ascii="宋体" w:hAnsi="宋体" w:eastAsia="宋体" w:cs="宋体"/>
                <w:color w:val="000000"/>
              </w:rPr>
              <w:t>：1名</w:t>
            </w:r>
          </w:p>
        </w:tc>
      </w:tr>
      <w:tr w14:paraId="21D625DE">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279CDC3">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6</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CBCECDF">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12.2</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6764110">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本项目中标人的确定（以采购包为单位）：</w:t>
            </w:r>
          </w:p>
          <w:p w14:paraId="2D68BDD6">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（1）采购人应在政府采购招投标管理办法规定的时限内确定中标人。</w:t>
            </w:r>
          </w:p>
          <w:p w14:paraId="09FE49A5">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（2）若出现中标候选人并列情形，则按照下列方式确定中标人：</w:t>
            </w:r>
          </w:p>
          <w:p w14:paraId="419E8EC1">
            <w:pPr>
              <w:pStyle w:val="18"/>
              <w:widowControl/>
              <w:snapToGrid w:val="0"/>
              <w:spacing w:beforeAutospacing="0" w:afterAutospacing="0" w:line="500" w:lineRule="atLeast"/>
              <w:ind w:firstLine="480" w:firstLineChars="200"/>
              <w:jc w:val="both"/>
              <w:rPr>
                <w:rFonts w:hint="eastAsia" w:ascii="宋体" w:hAnsi="宋体" w:eastAsia="宋体" w:cs="宋体"/>
                <w:color w:val="000000"/>
              </w:rPr>
            </w:pPr>
            <w:r>
              <w:rPr>
                <w:rFonts w:hint="eastAsia" w:ascii="宋体" w:hAnsi="宋体" w:eastAsia="宋体" w:cs="宋体"/>
                <w:color w:val="000000"/>
              </w:rPr>
              <w:t>①招标文件规定的方式：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根据投标人的售后服务承诺等方面，择优选择中标候选人。</w:t>
            </w:r>
          </w:p>
          <w:p w14:paraId="01B8B0CE">
            <w:pPr>
              <w:pStyle w:val="18"/>
              <w:widowControl/>
              <w:snapToGrid w:val="0"/>
              <w:spacing w:beforeAutospacing="0" w:afterAutospacing="0" w:line="500" w:lineRule="atLeast"/>
              <w:ind w:firstLine="480" w:firstLineChars="200"/>
              <w:jc w:val="both"/>
              <w:rPr>
                <w:rFonts w:hint="eastAsia" w:ascii="宋体" w:hAnsi="宋体" w:eastAsia="宋体" w:cs="宋体"/>
                <w:color w:val="000000"/>
              </w:rPr>
            </w:pPr>
            <w:r>
              <w:rPr>
                <w:rFonts w:hint="eastAsia" w:ascii="宋体" w:hAnsi="宋体" w:eastAsia="宋体" w:cs="宋体"/>
                <w:color w:val="000000"/>
              </w:rPr>
              <w:t>②若本款第①点规定方式为“无”，则按照下列方式确定：无。</w:t>
            </w:r>
          </w:p>
          <w:p w14:paraId="72309AA8">
            <w:pPr>
              <w:pStyle w:val="18"/>
              <w:widowControl/>
              <w:snapToGrid w:val="0"/>
              <w:spacing w:beforeAutospacing="0" w:afterAutospacing="0" w:line="500" w:lineRule="atLeast"/>
              <w:ind w:firstLine="480" w:firstLineChars="200"/>
              <w:jc w:val="both"/>
              <w:rPr>
                <w:rFonts w:hint="eastAsia" w:ascii="宋体" w:hAnsi="宋体" w:eastAsia="宋体" w:cs="宋体"/>
                <w:color w:val="000000"/>
              </w:rPr>
            </w:pPr>
            <w:r>
              <w:rPr>
                <w:rFonts w:hint="eastAsia" w:ascii="宋体" w:hAnsi="宋体" w:eastAsia="宋体" w:cs="宋体"/>
                <w:color w:val="000000"/>
              </w:rPr>
              <w:t>③若本款第①、②点规定方式均为“无”，则按照下列方式确定：随机抽取。</w:t>
            </w:r>
          </w:p>
          <w:p w14:paraId="17134B85">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（3）本项目确定的中标人家数：</w:t>
            </w:r>
            <w:r>
              <w:rPr>
                <w:rFonts w:hint="eastAsia" w:ascii="宋体" w:hAnsi="宋体" w:eastAsia="宋体" w:cs="宋体"/>
                <w:color w:val="000000"/>
                <w:kern w:val="2"/>
              </w:rPr>
              <w:t>采购包1</w:t>
            </w:r>
            <w:r>
              <w:rPr>
                <w:rFonts w:hint="eastAsia" w:ascii="宋体" w:hAnsi="宋体" w:eastAsia="宋体" w:cs="宋体"/>
                <w:color w:val="000000"/>
              </w:rPr>
              <w:t>：1名</w:t>
            </w:r>
          </w:p>
        </w:tc>
      </w:tr>
      <w:tr w14:paraId="51258E4C">
        <w:tblPrEx>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B56AEB7">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7</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01FBAB8">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13.2</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852B688">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合同签订时限：自中标通知书发出之日起30个日历日内。</w:t>
            </w:r>
          </w:p>
        </w:tc>
      </w:tr>
      <w:tr w14:paraId="2C76CDF1">
        <w:tblPrEx>
          <w:shd w:val="clear" w:color="auto" w:fill="FFFFFF"/>
          <w:tblCellMar>
            <w:top w:w="0" w:type="dxa"/>
            <w:left w:w="0" w:type="dxa"/>
            <w:bottom w:w="0" w:type="dxa"/>
            <w:right w:w="0" w:type="dxa"/>
          </w:tblCellMar>
        </w:tblPrEx>
        <w:trPr>
          <w:trHeight w:val="487" w:hRule="atLeast"/>
        </w:trPr>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CB365B4">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8</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7CD22E1">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15.1-（2）</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CC8585D">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质疑函原件应采用下列方式提交：书面形式。</w:t>
            </w:r>
          </w:p>
        </w:tc>
      </w:tr>
      <w:tr w14:paraId="72565F10">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1F864CD">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9</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3D02F27">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15.4</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B468738">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招标文件的质疑</w:t>
            </w:r>
          </w:p>
          <w:p w14:paraId="14027727">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（1）潜在投标人可在质疑时效期间内对招标文件以书面形式提出质疑。</w:t>
            </w:r>
          </w:p>
          <w:p w14:paraId="7863412A">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（2）质疑时效期间：</w:t>
            </w:r>
          </w:p>
          <w:p w14:paraId="4A433698">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①应在依法获取招标文件之日起7个工作日内向福建省新卫招标代理有限公司提出，依法获取招标文件的时间以</w:t>
            </w:r>
            <w:r>
              <w:rPr>
                <w:rFonts w:hint="eastAsia" w:ascii="宋体" w:hAnsi="宋体" w:eastAsia="宋体" w:cs="宋体"/>
                <w:color w:val="000000"/>
                <w:lang w:eastAsia="zh-CN"/>
              </w:rPr>
              <w:t>福建省政府采购网上公开信息系统（自采平台）</w:t>
            </w:r>
            <w:r>
              <w:rPr>
                <w:rFonts w:hint="eastAsia" w:ascii="宋体" w:hAnsi="宋体" w:eastAsia="宋体" w:cs="宋体"/>
                <w:color w:val="000000"/>
              </w:rPr>
              <w:t>记载的为准。</w:t>
            </w:r>
          </w:p>
          <w:p w14:paraId="67F0F88C">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②在法定质疑期内质疑人须一次性提出针对同一采购程序环节的质疑，二（多）次质疑不予受理。</w:t>
            </w:r>
          </w:p>
          <w:p w14:paraId="09803F9B">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③不接受未购买招标文件的潜在投标人提出质疑。</w:t>
            </w:r>
          </w:p>
          <w:p w14:paraId="173357F6">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※除上述规定外，对招标文件提出的质疑还应符合招标文件第三章第15.1条的有关规定。</w:t>
            </w:r>
          </w:p>
        </w:tc>
      </w:tr>
      <w:tr w14:paraId="35451CD6">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CF1DF81">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0</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D75FB63">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16.1</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61F1722">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监督管理部门：</w:t>
            </w:r>
            <w:r>
              <w:rPr>
                <w:rFonts w:hint="eastAsia" w:ascii="宋体" w:hAnsi="宋体" w:eastAsia="宋体" w:cs="宋体"/>
                <w:lang w:eastAsia="zh-CN"/>
              </w:rPr>
              <w:t>福建省厦门监狱</w:t>
            </w:r>
            <w:r>
              <w:rPr>
                <w:rFonts w:hint="eastAsia" w:ascii="宋体" w:hAnsi="宋体" w:eastAsia="宋体" w:cs="宋体"/>
              </w:rPr>
              <w:t>监管部门</w:t>
            </w:r>
          </w:p>
        </w:tc>
      </w:tr>
      <w:tr w14:paraId="402EB588">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3887B8D">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1</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09DBB9F">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18.1</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443697C">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采购信息发布媒体：</w:t>
            </w:r>
          </w:p>
          <w:p w14:paraId="6C127982">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（1）福建省政府采购网，网址https://zfcg.czt.fujian.gov.cn/</w:t>
            </w:r>
            <w:r>
              <w:rPr>
                <w:rFonts w:hint="eastAsia" w:ascii="宋体" w:hAnsi="宋体" w:eastAsia="宋体" w:cs="宋体"/>
                <w:color w:val="000000"/>
                <w:lang w:val="en-US" w:eastAsia="zh-CN"/>
              </w:rPr>
              <w:t>。</w:t>
            </w:r>
          </w:p>
          <w:p w14:paraId="648CCC86">
            <w:pPr>
              <w:pStyle w:val="18"/>
              <w:widowControl/>
              <w:spacing w:before="0" w:beforeAutospacing="0" w:after="0" w:afterAutospacing="0" w:line="440" w:lineRule="exact"/>
              <w:rPr>
                <w:rFonts w:hint="default" w:ascii="宋体" w:hAnsi="宋体" w:eastAsia="宋体" w:cs="宋体"/>
                <w:color w:val="000000"/>
                <w:lang w:val="en-US"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2）</w:t>
            </w:r>
            <w:r>
              <w:rPr>
                <w:rFonts w:hint="eastAsia" w:ascii="宋体" w:hAnsi="宋体" w:eastAsia="宋体" w:cs="宋体"/>
                <w:color w:val="000000"/>
              </w:rPr>
              <w:t>福建省国资平台</w:t>
            </w:r>
            <w:r>
              <w:rPr>
                <w:rFonts w:hint="eastAsia" w:ascii="宋体" w:hAnsi="宋体" w:eastAsia="宋体" w:cs="宋体"/>
                <w:color w:val="000000"/>
                <w:lang w:eastAsia="zh-CN"/>
              </w:rPr>
              <w:t>，</w:t>
            </w:r>
            <w:r>
              <w:rPr>
                <w:rFonts w:hint="eastAsia" w:ascii="宋体" w:hAnsi="宋体" w:eastAsia="宋体" w:cs="宋体"/>
                <w:color w:val="000000"/>
              </w:rPr>
              <w:t>网址：https://ygcg.fjcqjy.com/</w:t>
            </w:r>
            <w:r>
              <w:rPr>
                <w:rFonts w:hint="eastAsia" w:ascii="宋体" w:hAnsi="宋体" w:eastAsia="宋体" w:cs="宋体"/>
                <w:color w:val="000000"/>
                <w:lang w:val="en-US" w:eastAsia="zh-CN"/>
              </w:rPr>
              <w:t>。</w:t>
            </w:r>
          </w:p>
          <w:p w14:paraId="0EA89F46">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val="en-US" w:eastAsia="zh-CN"/>
              </w:rPr>
              <w:t>3</w:t>
            </w:r>
            <w:r>
              <w:rPr>
                <w:rFonts w:hint="eastAsia" w:ascii="宋体" w:hAnsi="宋体" w:eastAsia="宋体" w:cs="宋体"/>
                <w:color w:val="000000"/>
              </w:rPr>
              <w:t>）福建省新卫招标网，网址http://www.xinweizb.com/。</w:t>
            </w:r>
          </w:p>
          <w:p w14:paraId="4025D719">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※若出现上述指定媒体信息不一致情形，应以福建省政府采购网发布的为准。</w:t>
            </w:r>
          </w:p>
        </w:tc>
      </w:tr>
      <w:tr w14:paraId="6221267F">
        <w:tblPrEx>
          <w:shd w:val="clear" w:color="auto" w:fill="FFFFFF"/>
          <w:tblCellMar>
            <w:top w:w="0" w:type="dxa"/>
            <w:left w:w="0" w:type="dxa"/>
            <w:bottom w:w="0" w:type="dxa"/>
            <w:right w:w="0" w:type="dxa"/>
          </w:tblCellMar>
        </w:tblPrEx>
        <w:tc>
          <w:tcPr>
            <w:tcW w:w="27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6A9DB65">
            <w:pPr>
              <w:pStyle w:val="18"/>
              <w:widowControl/>
              <w:snapToGrid w:val="0"/>
              <w:spacing w:beforeAutospacing="0" w:afterAutospacing="0" w:line="500" w:lineRule="atLeast"/>
              <w:jc w:val="center"/>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2</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336F253">
            <w:pPr>
              <w:pStyle w:val="18"/>
              <w:widowControl/>
              <w:snapToGrid w:val="0"/>
              <w:spacing w:beforeAutospacing="0" w:afterAutospacing="0" w:line="500" w:lineRule="atLeast"/>
              <w:jc w:val="center"/>
              <w:rPr>
                <w:rFonts w:hint="eastAsia" w:ascii="宋体" w:hAnsi="宋体" w:eastAsia="宋体" w:cs="宋体"/>
                <w:color w:val="000000"/>
              </w:rPr>
            </w:pPr>
            <w:r>
              <w:rPr>
                <w:rFonts w:hint="eastAsia" w:ascii="宋体" w:hAnsi="宋体" w:eastAsia="宋体" w:cs="宋体"/>
                <w:color w:val="000000"/>
              </w:rPr>
              <w:t>19</w:t>
            </w:r>
          </w:p>
        </w:tc>
        <w:tc>
          <w:tcPr>
            <w:tcW w:w="391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DDDC742">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其他事项：</w:t>
            </w:r>
          </w:p>
          <w:p w14:paraId="089D0D0A">
            <w:pPr>
              <w:pStyle w:val="18"/>
              <w:widowControl/>
              <w:snapToGrid w:val="0"/>
              <w:spacing w:beforeAutospacing="0" w:afterAutospacing="0" w:line="500" w:lineRule="atLeast"/>
              <w:jc w:val="both"/>
              <w:rPr>
                <w:rFonts w:hint="eastAsia" w:ascii="宋体" w:hAnsi="宋体" w:eastAsia="宋体" w:cs="宋体"/>
              </w:rPr>
            </w:pPr>
            <w:r>
              <w:rPr>
                <w:rFonts w:hint="eastAsia" w:ascii="宋体" w:hAnsi="宋体" w:eastAsia="宋体" w:cs="宋体"/>
                <w:color w:val="000000"/>
              </w:rPr>
              <w:t>（1）</w:t>
            </w:r>
            <w:r>
              <w:rPr>
                <w:rFonts w:ascii="宋体" w:hAnsi="宋体" w:eastAsia="宋体" w:cs="宋体"/>
              </w:rPr>
              <w:t>关于招标代理服务费 ①本项目代理服务费由中标人支付。 ②收取标准及收取方式：本项目的招标代理服务费按福建省监狱系统政府招标代理服务收费标准，以中标金额为基数按差额定率累进法计算向中标人收取。费率标准：50万元（含）以下的按1%收取；50万元至100万元的按0.9%收取；100万元至500万元的按0.5%收取。中标人在领取中标通知书前，以转账或汇款方式提交，请投标人报价时予以充分考虑。②代理服务费缴交账户信息：账户名：福建省新卫招标代理有限公司；账号：77360188000028873；开户行：中国光大银行福州南门支行</w:t>
            </w:r>
            <w:r>
              <w:rPr>
                <w:rFonts w:hint="eastAsia" w:ascii="宋体" w:hAnsi="宋体" w:eastAsia="宋体" w:cs="宋体"/>
              </w:rPr>
              <w:t xml:space="preserve">。 </w:t>
            </w:r>
          </w:p>
          <w:p w14:paraId="4B6DD7CA">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(2)其他：</w:t>
            </w:r>
          </w:p>
          <w:p w14:paraId="39260D9E">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A.解释权：采购人、采购代理机构拥有本项目招标文件的最终解释权。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4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情形；⑦出现第七章投标文件格式中投标无效规定的情形。⑧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w:t>
            </w:r>
            <w:r>
              <w:rPr>
                <w:rFonts w:hint="eastAsia" w:ascii="宋体" w:hAnsi="宋体" w:eastAsia="宋体" w:cs="宋体"/>
                <w:color w:val="000000"/>
                <w:lang w:eastAsia="zh-CN"/>
              </w:rPr>
              <w:t>福建省政府采购网上公开信息系统（自采平台）</w:t>
            </w:r>
            <w:r>
              <w:rPr>
                <w:rFonts w:hint="eastAsia" w:ascii="宋体" w:hAnsi="宋体" w:eastAsia="宋体" w:cs="宋体"/>
                <w:color w:val="000000"/>
              </w:rPr>
              <w:t>上已对本项目进行报名的证明文件（体现报名时间），否则将不被认定为潜在投标人，其质疑将不予受理。【招标文件首次下载之日为质疑人在</w:t>
            </w:r>
            <w:r>
              <w:rPr>
                <w:rFonts w:hint="eastAsia" w:ascii="宋体" w:hAnsi="宋体" w:eastAsia="宋体" w:cs="宋体"/>
                <w:color w:val="000000"/>
                <w:lang w:eastAsia="zh-CN"/>
              </w:rPr>
              <w:t>福建省政府采购网上公开信息系统（自采平台）</w:t>
            </w:r>
            <w:r>
              <w:rPr>
                <w:rFonts w:hint="eastAsia" w:ascii="宋体" w:hAnsi="宋体" w:eastAsia="宋体" w:cs="宋体"/>
                <w:color w:val="000000"/>
              </w:rPr>
              <w:t xml:space="preserve">成功报名之日。】 E.投标人对本项目招标文件有任何疑议或不认同之处，需在法定时间内按规定提出质疑，否则视为投标人接受招标文件的规定。 </w:t>
            </w:r>
          </w:p>
        </w:tc>
      </w:tr>
    </w:tbl>
    <w:p w14:paraId="64F9B0AA">
      <w:pPr>
        <w:pStyle w:val="18"/>
        <w:widowControl/>
        <w:spacing w:beforeAutospacing="0" w:afterAutospacing="0" w:line="480" w:lineRule="atLeast"/>
        <w:ind w:firstLine="420"/>
        <w:rPr>
          <w:rFonts w:hint="eastAsia" w:ascii="宋体" w:hAnsi="宋体" w:eastAsia="宋体" w:cs="宋体"/>
        </w:rPr>
      </w:pPr>
    </w:p>
    <w:p w14:paraId="0577C15C">
      <w:pPr>
        <w:pStyle w:val="33"/>
        <w:jc w:val="both"/>
        <w:outlineLvl w:val="9"/>
        <w:rPr>
          <w:rFonts w:ascii="宋体" w:hAnsi="宋体" w:eastAsia="宋体" w:cs="宋体"/>
          <w:b/>
          <w:bCs/>
          <w:color w:val="000000"/>
          <w:kern w:val="2"/>
          <w:sz w:val="24"/>
          <w:szCs w:val="24"/>
          <w:lang w:eastAsia="zh-CN"/>
        </w:rPr>
      </w:pPr>
      <w:r>
        <w:rPr>
          <w:rFonts w:ascii="宋体" w:hAnsi="宋体" w:eastAsia="宋体" w:cs="宋体"/>
          <w:b/>
          <w:bCs/>
          <w:color w:val="000000"/>
          <w:kern w:val="2"/>
          <w:sz w:val="24"/>
          <w:szCs w:val="24"/>
          <w:lang w:eastAsia="zh-CN"/>
        </w:rPr>
        <w:t>二、投标人须知前附表2</w:t>
      </w:r>
    </w:p>
    <w:tbl>
      <w:tblPr>
        <w:tblStyle w:val="2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1"/>
        <w:gridCol w:w="9113"/>
      </w:tblGrid>
      <w:tr w14:paraId="486D0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gridSpan w:val="2"/>
          </w:tcPr>
          <w:p w14:paraId="4FD2566E">
            <w:pPr>
              <w:pStyle w:val="18"/>
              <w:snapToGrid w:val="0"/>
              <w:spacing w:line="500" w:lineRule="atLeast"/>
              <w:jc w:val="both"/>
              <w:rPr>
                <w:rFonts w:hint="eastAsia" w:ascii="宋体" w:hAnsi="宋体" w:eastAsia="宋体" w:cs="宋体"/>
                <w:color w:val="000000"/>
                <w:lang w:eastAsia="zh-CN"/>
              </w:rPr>
            </w:pPr>
            <w:r>
              <w:rPr>
                <w:rFonts w:hint="eastAsia" w:ascii="宋体" w:hAnsi="宋体" w:eastAsia="宋体" w:cs="宋体"/>
                <w:color w:val="000000"/>
                <w:lang w:eastAsia="zh-CN"/>
              </w:rPr>
              <w:t>关于电子招标投标活动的专门规定</w:t>
            </w:r>
          </w:p>
        </w:tc>
      </w:tr>
      <w:tr w14:paraId="2C9E7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tcPr>
          <w:p w14:paraId="3CC3AB2D">
            <w:pPr>
              <w:pStyle w:val="18"/>
              <w:snapToGrid w:val="0"/>
              <w:spacing w:line="500" w:lineRule="atLeast"/>
              <w:jc w:val="both"/>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4623" w:type="pct"/>
          </w:tcPr>
          <w:p w14:paraId="65C9EC00">
            <w:pPr>
              <w:pStyle w:val="18"/>
              <w:widowControl/>
              <w:snapToGrid w:val="0"/>
              <w:spacing w:beforeAutospacing="0" w:afterAutospacing="0" w:line="500" w:lineRule="atLeast"/>
              <w:jc w:val="both"/>
              <w:rPr>
                <w:rFonts w:hint="eastAsia" w:ascii="宋体" w:hAnsi="宋体" w:eastAsia="宋体" w:cs="宋体"/>
                <w:color w:val="000000"/>
              </w:rPr>
            </w:pPr>
            <w:r>
              <w:rPr>
                <w:rFonts w:hint="eastAsia" w:ascii="宋体" w:hAnsi="宋体" w:eastAsia="宋体" w:cs="宋体"/>
                <w:color w:val="000000"/>
              </w:rPr>
              <w:t>编列内容</w:t>
            </w:r>
          </w:p>
        </w:tc>
      </w:tr>
      <w:tr w14:paraId="4A163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1A70C03E">
            <w:pPr>
              <w:pStyle w:val="33"/>
              <w:jc w:val="center"/>
              <w:rPr>
                <w:rFonts w:ascii="宋体" w:hAnsi="宋体" w:eastAsia="宋体" w:cs="宋体"/>
                <w:sz w:val="24"/>
                <w:szCs w:val="24"/>
              </w:rPr>
            </w:pPr>
            <w:r>
              <w:rPr>
                <w:rFonts w:ascii="宋体" w:hAnsi="宋体" w:eastAsia="宋体" w:cs="宋体"/>
                <w:sz w:val="24"/>
                <w:szCs w:val="24"/>
              </w:rPr>
              <w:t>1</w:t>
            </w:r>
          </w:p>
        </w:tc>
        <w:tc>
          <w:tcPr>
            <w:tcW w:w="4623" w:type="pct"/>
          </w:tcPr>
          <w:p w14:paraId="4BB8E388">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（1）电子招标投标活动的专门规定适用本项目电子招标投标活动。</w:t>
            </w:r>
          </w:p>
          <w:p w14:paraId="5E36560E">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（2）将招标文件</w:t>
            </w:r>
            <w:r>
              <w:rPr>
                <w:rFonts w:hint="eastAsia" w:ascii="宋体" w:hAnsi="宋体" w:eastAsia="宋体" w:cs="宋体"/>
                <w:b/>
                <w:bCs/>
                <w:color w:val="000000"/>
                <w:u w:val="single"/>
                <w:lang w:val="en-US" w:eastAsia="zh-CN"/>
              </w:rPr>
              <w:t xml:space="preserve"> ①一般资格证明文件：序号3提供财务状况报告(财务报告、或资信证明）“提供经审计的上一年度的年度财务报告”</w:t>
            </w:r>
            <w:r>
              <w:rPr>
                <w:rFonts w:hint="eastAsia" w:ascii="宋体" w:hAnsi="宋体" w:eastAsia="宋体" w:cs="宋体"/>
                <w:b/>
                <w:bCs/>
                <w:color w:val="000000"/>
                <w:u w:val="single"/>
                <w:lang w:eastAsia="zh-CN"/>
              </w:rPr>
              <w:t xml:space="preserve"> </w:t>
            </w:r>
            <w:r>
              <w:rPr>
                <w:rFonts w:hint="eastAsia" w:ascii="宋体" w:hAnsi="宋体" w:eastAsia="宋体" w:cs="宋体"/>
                <w:color w:val="000000"/>
                <w:lang w:eastAsia="zh-CN"/>
              </w:rPr>
              <w:t>的内容修正为下列内容：</w:t>
            </w:r>
            <w:r>
              <w:rPr>
                <w:rFonts w:hint="eastAsia" w:ascii="宋体" w:hAnsi="宋体" w:eastAsia="宋体" w:cs="宋体"/>
                <w:b/>
                <w:bCs/>
                <w:color w:val="000000"/>
                <w:u w:val="single"/>
                <w:lang w:val="en-US" w:eastAsia="zh-CN"/>
              </w:rPr>
              <w:t xml:space="preserve"> “提供经审计的2024年度或2025年度的年度财务报告”</w:t>
            </w:r>
            <w:r>
              <w:rPr>
                <w:rFonts w:hint="eastAsia" w:ascii="宋体" w:hAnsi="宋体" w:eastAsia="宋体" w:cs="宋体"/>
                <w:b/>
                <w:bCs/>
                <w:color w:val="000000"/>
                <w:u w:val="single"/>
                <w:lang w:eastAsia="zh-CN"/>
              </w:rPr>
              <w:t xml:space="preserve"> </w:t>
            </w:r>
            <w:r>
              <w:rPr>
                <w:rFonts w:hint="eastAsia" w:ascii="宋体" w:hAnsi="宋体" w:eastAsia="宋体" w:cs="宋体"/>
                <w:color w:val="000000"/>
                <w:lang w:eastAsia="zh-CN"/>
              </w:rPr>
              <w:t>后适用本项目的电子招标投标活动。</w:t>
            </w:r>
          </w:p>
          <w:p w14:paraId="79671035">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（3）将下列内容增列为招标文件的组成部分（以下简称：“增列内容”）适用本项目的电子招标投标活动，若增列内容与招标文件其他章节内容有冲突，应以增列内容为准：</w:t>
            </w:r>
          </w:p>
          <w:p w14:paraId="53CCCC8D">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①电子招标投标活动的具体操作流程以福建省政府采购网上公开信息系统（自采平台）设定的为准。</w:t>
            </w:r>
          </w:p>
          <w:p w14:paraId="0495B9B4">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②关于电子投标文件：</w:t>
            </w:r>
          </w:p>
          <w:p w14:paraId="7F7B8649">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a.投标人应按照福建省政府采购网上公开信息系统（自采平台）设定的评审节点编制电子投标文件，否则资格审查小组、评标委员会将按照不利于投标人的内容进行认定。</w:t>
            </w:r>
          </w:p>
          <w:p w14:paraId="192CA3B2">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投标人应在投标截止时间前按照福建省政府采购网上公开信息系统（自采平台）设定的操作流程将电子投标文件1份上传至福建省政府采购网上公开信息系统（自采平台）。电子投标文件的投标（响应）报价明细表、投标客户端的投标（响应）报价明细表应保持一致，并以投标客户端的投标（响应）报价明细表为准。</w:t>
            </w:r>
          </w:p>
          <w:p w14:paraId="3F645675">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③关于证明材料或资料：</w:t>
            </w:r>
          </w:p>
          <w:p w14:paraId="3F543920">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EAA04E1">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b.若投标人提供注明“复印件无效”或“复印无效”的证明材料或资料，应结合上文a条款进行判定，若招标文件未要求投标人提供原件，投标人提供原件，复印件（含扫描件）均视为满足招标文件要求。</w:t>
            </w:r>
          </w:p>
          <w:p w14:paraId="781E3417">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④关于“全称”、“投标人代表签字”及“加盖单位公章”：</w:t>
            </w:r>
          </w:p>
          <w:p w14:paraId="166C9558">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a.在电子投标文件中，涉及“全称”和“投标人代表签字”的内容可使用打字录入方式完成。</w:t>
            </w:r>
          </w:p>
          <w:p w14:paraId="0F5BD55E">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b.在电子投标文件中，涉及“加盖单位公章”的内容应使用投标人的CA证书完成，否则投标无效。</w:t>
            </w:r>
          </w:p>
          <w:p w14:paraId="02E99B55">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c.在电子投标文件中，若投标人按照本增列内容第④点第b项规定加盖其单位公章，则出现无全称、或投标人代表未签字等情形，不视为投标无效。</w:t>
            </w:r>
          </w:p>
          <w:p w14:paraId="78F7E014">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⑤关于投标人的CA证书：</w:t>
            </w:r>
          </w:p>
          <w:p w14:paraId="645CD93D">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a.投标人的CA证书应在系统规定时间内使用CA证书进行电子投标文件的解密操作，逾期未解密的视为放弃投标。</w:t>
            </w:r>
          </w:p>
          <w:p w14:paraId="39459662">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b.投标人的CA证书可采用信封（包括但不限于：信封、档案袋、文件袋等）作为外包装进行单独包装。外包装密封、不密封皆可。</w:t>
            </w:r>
          </w:p>
          <w:p w14:paraId="274B46A6">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c.投标人的CA证书或外包装应标记“项目名称、项目编号、投标人的全称”等内容，以方便识别、使用。</w:t>
            </w:r>
          </w:p>
          <w:p w14:paraId="7950DCD2">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d.投标人的CA证书应能正常、有效使用，否则产生不利后果由投标人承担责任。</w:t>
            </w:r>
          </w:p>
          <w:p w14:paraId="78A39123">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⑥关于投标截止时间过后</w:t>
            </w:r>
          </w:p>
          <w:p w14:paraId="576C382F">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a.未按招标文件规定提交投标保证金的，其投标将按无效投标处理。</w:t>
            </w:r>
          </w:p>
          <w:p w14:paraId="41EB33AE">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b.有下列情形之一的，其投标无效,其保证金不予退还或通过投标保函进行索赔：</w:t>
            </w:r>
          </w:p>
          <w:p w14:paraId="2275AAB4">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b1不同投标人的电子投标文件具有相同内部识别码；</w:t>
            </w:r>
          </w:p>
          <w:p w14:paraId="11F5AABE">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b2不同投标人的投标保证金从同一单位或个人的账户转出；</w:t>
            </w:r>
          </w:p>
          <w:p w14:paraId="05B4C213">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b3投标人的投标保证金同一采购包下有其他投标人提交的投标保证金；</w:t>
            </w:r>
          </w:p>
          <w:p w14:paraId="2A60F2DC">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b4不同投标人存在串通投标的其他情形。</w:t>
            </w:r>
          </w:p>
          <w:p w14:paraId="35A04D8C">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⑦接受联合体投标且投标人为联合体的，投标人应由“联合体牵头方”完成福建省政府采购网上公开信息系统（自采平台）设定的具体操作流程（包括但不限于：招标文件获取、提交投标保证金、编制电子投标文件等）。</w:t>
            </w:r>
          </w:p>
          <w:p w14:paraId="61470B75">
            <w:pPr>
              <w:pStyle w:val="18"/>
              <w:widowControl/>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⑧其他：</w:t>
            </w:r>
          </w:p>
          <w:p w14:paraId="069EA89D">
            <w:pPr>
              <w:pStyle w:val="18"/>
              <w:widowControl/>
              <w:numPr>
                <w:ilvl w:val="0"/>
                <w:numId w:val="0"/>
              </w:numPr>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kern w:val="0"/>
                <w:sz w:val="24"/>
                <w:szCs w:val="24"/>
                <w:lang w:val="en-US" w:eastAsia="zh-CN" w:bidi="ar-SA"/>
              </w:rPr>
              <w:t>a.</w:t>
            </w:r>
            <w:r>
              <w:rPr>
                <w:rFonts w:hint="eastAsia" w:ascii="宋体" w:hAnsi="宋体" w:eastAsia="宋体" w:cs="宋体"/>
                <w:color w:val="000000"/>
                <w:lang w:eastAsia="zh-CN"/>
              </w:rPr>
              <w:t>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w:t>
            </w:r>
          </w:p>
          <w:p w14:paraId="75A5F792">
            <w:pPr>
              <w:pStyle w:val="18"/>
              <w:widowControl/>
              <w:numPr>
                <w:ilvl w:val="0"/>
                <w:numId w:val="0"/>
              </w:numPr>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kern w:val="0"/>
                <w:sz w:val="24"/>
                <w:szCs w:val="24"/>
                <w:lang w:val="en-US" w:eastAsia="zh-CN" w:bidi="ar-SA"/>
              </w:rPr>
              <w:t>b.</w:t>
            </w:r>
            <w:r>
              <w:rPr>
                <w:rFonts w:hint="eastAsia" w:ascii="宋体" w:hAnsi="宋体" w:eastAsia="宋体" w:cs="宋体"/>
                <w:color w:val="000000"/>
                <w:lang w:eastAsia="zh-CN"/>
              </w:rPr>
              <w:t>投标人不到开标现场的，请在开标时自行登录采购系统，线上参与开标流程，并按规定在相应时段对投标文件进行远程解密、远程签章。</w:t>
            </w:r>
          </w:p>
          <w:p w14:paraId="7CA8359C">
            <w:pPr>
              <w:pStyle w:val="18"/>
              <w:widowControl/>
              <w:numPr>
                <w:ilvl w:val="0"/>
                <w:numId w:val="0"/>
              </w:numPr>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c.投标人应确保自身设施、设备、网络环境状况良好，在操作过程中因投标人自身原因造成无法正常观看开标流程、远程解密或签章的，后果由投标人自行承担。</w:t>
            </w:r>
          </w:p>
          <w:p w14:paraId="75A63D56">
            <w:pPr>
              <w:pStyle w:val="18"/>
              <w:widowControl/>
              <w:numPr>
                <w:ilvl w:val="0"/>
                <w:numId w:val="0"/>
              </w:numPr>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d.在规定的时间内正确提交电子投标文件的投标人在开标时将由系统判定签到情况，投标人应在远程解密开启后在规定时间内使用CA数字证书进行投标文件的解密操作，逾期未解密的视为自行放弃投标。</w:t>
            </w:r>
          </w:p>
          <w:p w14:paraId="5DCB4E6E">
            <w:pPr>
              <w:pStyle w:val="18"/>
              <w:widowControl/>
              <w:numPr>
                <w:ilvl w:val="0"/>
                <w:numId w:val="0"/>
              </w:numPr>
              <w:snapToGrid w:val="0"/>
              <w:spacing w:beforeAutospacing="0" w:afterAutospacing="0" w:line="500" w:lineRule="atLeast"/>
              <w:ind w:firstLine="48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e.开标结束后，投标人应当对开标结果进行签章，并在远程签章开放后的规定时间内完成，逾期未签章的视为认同开标结果。</w:t>
            </w:r>
          </w:p>
          <w:p w14:paraId="7D119E87">
            <w:pPr>
              <w:pStyle w:val="18"/>
              <w:widowControl/>
              <w:numPr>
                <w:ilvl w:val="0"/>
                <w:numId w:val="0"/>
              </w:numPr>
              <w:snapToGrid w:val="0"/>
              <w:spacing w:beforeAutospacing="0" w:afterAutospacing="0" w:line="500" w:lineRule="atLeast"/>
              <w:ind w:firstLine="480" w:firstLineChars="200"/>
              <w:jc w:val="both"/>
              <w:rPr>
                <w:rFonts w:hint="eastAsia" w:ascii="宋体" w:hAnsi="宋体" w:eastAsia="宋体" w:cs="宋体"/>
                <w:color w:val="000000"/>
              </w:rPr>
            </w:pPr>
            <w:r>
              <w:rPr>
                <w:rFonts w:hint="eastAsia" w:ascii="宋体" w:hAnsi="宋体" w:eastAsia="宋体" w:cs="宋体"/>
                <w:color w:val="000000"/>
                <w:lang w:eastAsia="zh-CN"/>
              </w:rPr>
              <w:t>f.远程解密及远程签章的开放起始时间均在开标过程中临时开启，本项目开标过程中解密的操作时限为30分钟，远程签章操作时限为10分钟，请投标人务必密切关注实时开标流程，并根据流程在系统内按时操作，否则产生的后果由投标人自行承担。</w:t>
            </w:r>
          </w:p>
        </w:tc>
      </w:tr>
    </w:tbl>
    <w:p w14:paraId="0C105E6E">
      <w:pPr>
        <w:rPr>
          <w:rFonts w:hint="eastAsia" w:ascii="宋体" w:hAnsi="宋体" w:eastAsia="宋体" w:cs="宋体"/>
          <w:b/>
          <w:bCs/>
          <w:color w:val="333333"/>
          <w:sz w:val="39"/>
          <w:szCs w:val="39"/>
          <w:shd w:val="clear" w:color="auto" w:fill="FFFFFF"/>
        </w:rPr>
      </w:pPr>
      <w:r>
        <w:rPr>
          <w:rFonts w:hint="eastAsia" w:ascii="宋体" w:hAnsi="宋体" w:eastAsia="宋体" w:cs="宋体"/>
          <w:b/>
          <w:bCs/>
          <w:color w:val="333333"/>
          <w:sz w:val="39"/>
          <w:szCs w:val="39"/>
          <w:shd w:val="clear" w:color="auto" w:fill="FFFFFF"/>
        </w:rPr>
        <w:br w:type="page"/>
      </w:r>
    </w:p>
    <w:p w14:paraId="7DA13641">
      <w:pPr>
        <w:widowControl/>
        <w:shd w:val="clear" w:color="auto" w:fill="FFFFFF"/>
        <w:jc w:val="center"/>
        <w:outlineLvl w:val="0"/>
        <w:rPr>
          <w:rFonts w:hint="eastAsia" w:ascii="宋体" w:hAnsi="宋体" w:eastAsia="宋体" w:cs="宋体"/>
          <w:b/>
          <w:bCs/>
          <w:color w:val="333333"/>
          <w:sz w:val="39"/>
          <w:szCs w:val="39"/>
        </w:rPr>
      </w:pPr>
      <w:bookmarkStart w:id="18" w:name="_Toc20719"/>
      <w:r>
        <w:rPr>
          <w:rStyle w:val="26"/>
          <w:rFonts w:hint="eastAsia" w:ascii="宋体" w:hAnsi="宋体" w:eastAsia="宋体" w:cs="宋体"/>
          <w:bCs/>
          <w:color w:val="000000"/>
          <w:kern w:val="0"/>
          <w:sz w:val="32"/>
          <w:szCs w:val="32"/>
          <w:lang w:bidi="ar"/>
        </w:rPr>
        <w:t>第三章 投标人须知</w:t>
      </w:r>
      <w:bookmarkEnd w:id="18"/>
    </w:p>
    <w:p w14:paraId="0E617156">
      <w:pPr>
        <w:pStyle w:val="18"/>
        <w:widowControl/>
        <w:snapToGrid w:val="0"/>
        <w:spacing w:beforeAutospacing="0" w:afterAutospacing="0" w:line="500" w:lineRule="atLeast"/>
        <w:ind w:firstLine="482" w:firstLineChars="200"/>
        <w:jc w:val="center"/>
        <w:outlineLvl w:val="1"/>
        <w:rPr>
          <w:rFonts w:ascii="Calibri" w:hAnsi="Calibri" w:eastAsia="宋体"/>
          <w:b/>
          <w:bCs/>
          <w:color w:val="000000"/>
        </w:rPr>
      </w:pPr>
      <w:bookmarkStart w:id="19" w:name="_Toc2914"/>
      <w:r>
        <w:rPr>
          <w:rFonts w:hint="eastAsia" w:ascii="Calibri" w:hAnsi="Calibri" w:eastAsia="宋体"/>
          <w:b/>
          <w:bCs/>
          <w:color w:val="000000"/>
        </w:rPr>
        <w:t>一、总则</w:t>
      </w:r>
      <w:bookmarkEnd w:id="19"/>
    </w:p>
    <w:p w14:paraId="31607B2B">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1、适用范围</w:t>
      </w:r>
    </w:p>
    <w:p w14:paraId="7BCC433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1.1适用于招标文件载明项目的政府采购活动（以下简称：“本次采购活动”）。</w:t>
      </w:r>
    </w:p>
    <w:p w14:paraId="57466158">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2、定义</w:t>
      </w:r>
    </w:p>
    <w:p w14:paraId="49CE569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2.1“采购标的”指招标文件载明的需要采购的货物或服务。</w:t>
      </w:r>
    </w:p>
    <w:p w14:paraId="6E4C2B2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2.2“潜在投标人”指按照招标文件第一章第7条规定获取招标文件且有意向参加本项目投标的供应商。</w:t>
      </w:r>
    </w:p>
    <w:p w14:paraId="7153ACF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2.3“投标人”指按照招标文件第一章第7条规定获取招标文件并参加本项目投标的供应商。</w:t>
      </w:r>
    </w:p>
    <w:p w14:paraId="45327EE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2.4“单位负责人”指单位法定代表人或法律、法规规定代表单位行使职权的主要负责人。</w:t>
      </w:r>
    </w:p>
    <w:p w14:paraId="0981875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2.5“投标人代表”指投标人的单位负责人或“单位负责人授权书”中载明的接受授权方。</w:t>
      </w:r>
    </w:p>
    <w:p w14:paraId="66269A4B">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0" w:name="_Toc29557"/>
      <w:r>
        <w:rPr>
          <w:rFonts w:hint="eastAsia" w:ascii="Calibri" w:hAnsi="Calibri" w:eastAsia="宋体"/>
          <w:b/>
          <w:bCs/>
          <w:color w:val="000000"/>
        </w:rPr>
        <w:t>二、投标人</w:t>
      </w:r>
      <w:bookmarkEnd w:id="20"/>
    </w:p>
    <w:p w14:paraId="42D48C22">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3、合格投标人</w:t>
      </w:r>
    </w:p>
    <w:p w14:paraId="47B00AD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3.1一般规定</w:t>
      </w:r>
    </w:p>
    <w:p w14:paraId="4D79360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（1）投标人应遵守政府采购法及实施条例、政府采购招投标管理办法、政府采购质疑和投诉办法及财政部、福建省财政厅有关政府采购文件的规定，</w:t>
      </w:r>
      <w:r>
        <w:rPr>
          <w:rFonts w:hint="eastAsia" w:ascii="Calibri" w:hAnsi="Calibri" w:eastAsia="宋体" w:cs="Times New Roman"/>
          <w:color w:val="000000"/>
        </w:rPr>
        <w:t>同时还应遵守《中华人民共和国劳动合同法》有关规定和《中华人民共和国妇女权益保障法 》中关于“劳动和社会保障权益”的有关要求以及其他有关法律、法规和规章的强制性规定。</w:t>
      </w:r>
    </w:p>
    <w:p w14:paraId="4682EFFA">
      <w:pPr>
        <w:pStyle w:val="18"/>
        <w:widowControl/>
        <w:snapToGrid w:val="0"/>
        <w:spacing w:beforeAutospacing="0" w:afterAutospacing="0" w:line="500" w:lineRule="atLeast"/>
        <w:ind w:firstLine="480" w:firstLineChars="200"/>
        <w:rPr>
          <w:rFonts w:hint="eastAsia" w:ascii="Calibri" w:hAnsi="Calibri" w:eastAsia="宋体"/>
          <w:color w:val="000000"/>
        </w:rPr>
      </w:pPr>
      <w:r>
        <w:rPr>
          <w:rFonts w:hint="eastAsia" w:ascii="Calibri" w:hAnsi="Calibri" w:eastAsia="宋体" w:cs="Times New Roman"/>
          <w:color w:val="000000"/>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077DAC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（2）投标人的资格要求：详见招标文件第一章。</w:t>
      </w:r>
    </w:p>
    <w:p w14:paraId="46522B6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3.2若本项目接受联合体投标且投标人为联合体，则联合体各方应遵守本章第3.1条规定，同时还应遵守下列规定：</w:t>
      </w:r>
    </w:p>
    <w:p w14:paraId="7903009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（1）联合体各方应提交联合体协议，联合体协议应符合招标文件规定。</w:t>
      </w:r>
    </w:p>
    <w:p w14:paraId="2F60518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（2）联合体各方不得再单独参加或与其他供应商另外组成联合体参加同一合同项下的投标。</w:t>
      </w:r>
    </w:p>
    <w:p w14:paraId="7B1942B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（3）联合体各方应共同与采购人签订政府采购合同，就政府采购合同约定的事项对采购人承担连带责任。</w:t>
      </w:r>
    </w:p>
    <w:p w14:paraId="07ECB4D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B6425D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（5）联合体一方放弃中标的，视为联合体整体放弃中标，联合体各方承担连带责任。</w:t>
      </w:r>
    </w:p>
    <w:p w14:paraId="0C9827D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（6）如本项目不接受联合体投标而投标人为联合体的，或者本项目接受联合体投标但投标人组成的联合体不符合本章第3.2条规定的，</w:t>
      </w:r>
      <w:r>
        <w:rPr>
          <w:rFonts w:hint="eastAsia" w:ascii="Calibri" w:hAnsi="Calibri" w:eastAsia="宋体"/>
          <w:b/>
          <w:bCs/>
          <w:color w:val="000000"/>
        </w:rPr>
        <w:t>投标无效</w:t>
      </w:r>
      <w:r>
        <w:rPr>
          <w:rFonts w:hint="eastAsia" w:ascii="Calibri" w:hAnsi="Calibri" w:eastAsia="宋体"/>
          <w:color w:val="000000"/>
        </w:rPr>
        <w:t>。</w:t>
      </w:r>
    </w:p>
    <w:p w14:paraId="61A36F03">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4、投标费用</w:t>
      </w:r>
    </w:p>
    <w:p w14:paraId="378F05C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4.1除招标文件另有规定外，投标人应自行承担其参加本项目投标所涉及的一切费用。</w:t>
      </w:r>
    </w:p>
    <w:p w14:paraId="0814452E">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1" w:name="_Toc6821"/>
      <w:r>
        <w:rPr>
          <w:rFonts w:hint="eastAsia" w:ascii="Calibri" w:hAnsi="Calibri" w:eastAsia="宋体"/>
          <w:b/>
          <w:bCs/>
          <w:color w:val="000000"/>
        </w:rPr>
        <w:t>三、招标</w:t>
      </w:r>
      <w:bookmarkEnd w:id="21"/>
    </w:p>
    <w:p w14:paraId="5D6F26B3">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5、招标文件</w:t>
      </w:r>
    </w:p>
    <w:p w14:paraId="22D78EDC">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5.1招标文件由下述部分组成：</w:t>
      </w:r>
    </w:p>
    <w:p w14:paraId="42E7093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（1）投标邀请</w:t>
      </w:r>
    </w:p>
    <w:p w14:paraId="4B6EA43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（2）投标人须知前附表（表1、2）</w:t>
      </w:r>
    </w:p>
    <w:p w14:paraId="09253F2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（3）投标人须知</w:t>
      </w:r>
    </w:p>
    <w:p w14:paraId="424125A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（4）资格审查与评标</w:t>
      </w:r>
    </w:p>
    <w:p w14:paraId="50FA395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（5）招标内容及要求</w:t>
      </w:r>
    </w:p>
    <w:p w14:paraId="0B5E36B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（6）政府采购合同（参考文本）</w:t>
      </w:r>
    </w:p>
    <w:p w14:paraId="3F45DE3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（7）</w:t>
      </w:r>
      <w:r>
        <w:rPr>
          <w:rFonts w:hint="eastAsia" w:ascii="Calibri" w:hAnsi="Calibri" w:eastAsia="宋体" w:cs="Times New Roman"/>
          <w:color w:val="000000"/>
        </w:rPr>
        <w:t>电子投标文件格式</w:t>
      </w:r>
    </w:p>
    <w:p w14:paraId="6A79047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（8）按照招标文件规定作为招标文件组成部分的其他内容（若有）</w:t>
      </w:r>
    </w:p>
    <w:p w14:paraId="7A3F566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5.2招标文件的澄清或修改</w:t>
      </w:r>
    </w:p>
    <w:p w14:paraId="7673B65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（1）福建省新卫招标代理有限公司可对已发出的招标文件进行必要的澄清或修改，但不得对招标文件载明的采购标的和投标人的资格要求进行改变。</w:t>
      </w:r>
    </w:p>
    <w:p w14:paraId="0DA45E0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（2）除本章第5.2条第（3）款规定情形外，澄清或修改的内容可能影响</w:t>
      </w:r>
      <w:r>
        <w:rPr>
          <w:rFonts w:hint="eastAsia" w:ascii="Calibri" w:hAnsi="Calibri" w:eastAsia="宋体"/>
          <w:color w:val="000000"/>
          <w:lang w:eastAsia="zh-CN"/>
        </w:rPr>
        <w:t>电子投标文件</w:t>
      </w:r>
      <w:r>
        <w:rPr>
          <w:rFonts w:hint="eastAsia" w:ascii="Calibri" w:hAnsi="Calibri" w:eastAsia="宋体"/>
          <w:color w:val="000000"/>
        </w:rPr>
        <w:t>编制的，福建省新卫招标代理有限公司将在投标截止时间至少15个日历日前，在招标文件载明的指定媒体以更正公告的形式发布澄清或修改的内容。不足15个日历日的，福建省新卫招标代理有限公司将顺延投标截止时间及开标时间，福建省新卫招标代理有限公司和投标人受原投标截止时间及开标时间制约的所有权利和义务均延长至新的投标截止时间及开标时间。</w:t>
      </w:r>
    </w:p>
    <w:p w14:paraId="093FB03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澄清或修改的内容可能改变招标文件载明的采购标的和投标人的资格要求的，本次采购活动结束，福建省新卫招标代理有限公司将依法组织后续采购活动（包括但不限于：重新招标、采用其他方式采购等）。</w:t>
      </w:r>
    </w:p>
    <w:p w14:paraId="604D8CBE">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6、现场考察或开标前答疑会</w:t>
      </w:r>
    </w:p>
    <w:p w14:paraId="4AA9999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6.1是否组织现场考察或召开开标前答疑会：详见招标文件第二章。</w:t>
      </w:r>
    </w:p>
    <w:p w14:paraId="39E84944">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7、更正公告</w:t>
      </w:r>
    </w:p>
    <w:p w14:paraId="0A4051F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7.1若福建省新卫招标代理有限公司发布更正公告，则更正公告及其所发布的内容或信息（包括但不限于：招标文件的澄清或修改、现场考察或答疑会的有关事宜等）作为招标文件组成部分，对投标人具有约束力。</w:t>
      </w:r>
    </w:p>
    <w:p w14:paraId="1B89DCA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7.2更正公告作为福建省新卫招标代理有限公司通知所有潜在投标人的书面形式。</w:t>
      </w:r>
    </w:p>
    <w:p w14:paraId="161A7B8E">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8、终止公告</w:t>
      </w:r>
    </w:p>
    <w:p w14:paraId="1269D3F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8.1若出现因重大变故导致采购任务取消情形，福建省新卫招标代理有限公司可终止招标并发布终止公告。</w:t>
      </w:r>
    </w:p>
    <w:p w14:paraId="6869368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8.2终止公告作为福建省新卫招标代理有限公司通知所有潜在投标人的书面形式。</w:t>
      </w:r>
    </w:p>
    <w:p w14:paraId="57A233CA">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2" w:name="_Toc21968"/>
      <w:r>
        <w:rPr>
          <w:rFonts w:hint="eastAsia" w:ascii="Calibri" w:hAnsi="Calibri" w:eastAsia="宋体"/>
          <w:b/>
          <w:bCs/>
          <w:color w:val="000000"/>
        </w:rPr>
        <w:t>四、投标</w:t>
      </w:r>
      <w:bookmarkEnd w:id="22"/>
    </w:p>
    <w:p w14:paraId="7ED821D2">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9、投标</w:t>
      </w:r>
    </w:p>
    <w:p w14:paraId="6635B2C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9.1投标人可对招标文件载明的全部或部分采购包进行投标。</w:t>
      </w:r>
    </w:p>
    <w:p w14:paraId="0F0A287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9.2投标人应对同一个采购包内的所有内容进行完整投标，否则</w:t>
      </w:r>
      <w:r>
        <w:rPr>
          <w:rFonts w:hint="eastAsia" w:ascii="Calibri" w:hAnsi="Calibri" w:eastAsia="宋体"/>
          <w:b/>
          <w:bCs/>
          <w:color w:val="000000"/>
        </w:rPr>
        <w:t>投标无效</w:t>
      </w:r>
      <w:r>
        <w:rPr>
          <w:rFonts w:hint="eastAsia" w:ascii="Calibri" w:hAnsi="Calibri" w:eastAsia="宋体"/>
          <w:color w:val="000000"/>
        </w:rPr>
        <w:t>。</w:t>
      </w:r>
    </w:p>
    <w:p w14:paraId="425EE73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9.3投标人代表只能接受一个投标人的授权参加投标，否则</w:t>
      </w:r>
      <w:r>
        <w:rPr>
          <w:rFonts w:hint="eastAsia" w:ascii="Calibri" w:hAnsi="Calibri" w:eastAsia="宋体"/>
          <w:b/>
          <w:bCs/>
          <w:color w:val="000000"/>
        </w:rPr>
        <w:t>投标无效</w:t>
      </w:r>
      <w:r>
        <w:rPr>
          <w:rFonts w:hint="eastAsia" w:ascii="Calibri" w:hAnsi="Calibri" w:eastAsia="宋体"/>
          <w:color w:val="000000"/>
        </w:rPr>
        <w:t>。</w:t>
      </w:r>
    </w:p>
    <w:p w14:paraId="1F519C4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9.4单位负责人为同一人或存在直接控股、管理关系的不同供应商，不得同时参加同一合同项下的投标，否则</w:t>
      </w:r>
      <w:r>
        <w:rPr>
          <w:rFonts w:hint="eastAsia" w:ascii="Calibri" w:hAnsi="Calibri" w:eastAsia="宋体"/>
          <w:b/>
          <w:bCs/>
          <w:color w:val="000000"/>
        </w:rPr>
        <w:t>投标无效</w:t>
      </w:r>
      <w:r>
        <w:rPr>
          <w:rFonts w:hint="eastAsia" w:ascii="Calibri" w:hAnsi="Calibri" w:eastAsia="宋体"/>
          <w:color w:val="000000"/>
        </w:rPr>
        <w:t>。</w:t>
      </w:r>
    </w:p>
    <w:p w14:paraId="5E5AAD1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9.5为本项目提供整体设计、规范编制或项目管理、监理、检测等服务的供应商，不得参加本项目除整体设计、规范编制和项目管理、监理、检测等服务外的采购活动，否则</w:t>
      </w:r>
      <w:r>
        <w:rPr>
          <w:rFonts w:hint="eastAsia" w:ascii="Calibri" w:hAnsi="Calibri" w:eastAsia="宋体"/>
          <w:b/>
          <w:bCs/>
          <w:color w:val="000000"/>
        </w:rPr>
        <w:t>投标无效</w:t>
      </w:r>
      <w:r>
        <w:rPr>
          <w:rFonts w:hint="eastAsia" w:ascii="Calibri" w:hAnsi="Calibri" w:eastAsia="宋体"/>
          <w:color w:val="000000"/>
        </w:rPr>
        <w:t>。</w:t>
      </w:r>
    </w:p>
    <w:p w14:paraId="2C41671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9.6列入失信被执行人、重大税收违法案件当事人名单、政府采购严重违法失信行为记录名单及其他不符合政府采购法第二十二条规定条件的供应商，不得参加投标，否则</w:t>
      </w:r>
      <w:r>
        <w:rPr>
          <w:rFonts w:hint="eastAsia" w:ascii="Calibri" w:hAnsi="Calibri" w:eastAsia="宋体"/>
          <w:b/>
          <w:bCs/>
          <w:color w:val="000000"/>
        </w:rPr>
        <w:t>投标无效</w:t>
      </w:r>
      <w:r>
        <w:rPr>
          <w:rFonts w:hint="eastAsia" w:ascii="Calibri" w:hAnsi="Calibri" w:eastAsia="宋体"/>
          <w:color w:val="000000"/>
        </w:rPr>
        <w:t>。</w:t>
      </w:r>
    </w:p>
    <w:p w14:paraId="636F818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9.7有下列情形之一的，视为投标人串通投标，其</w:t>
      </w:r>
      <w:r>
        <w:rPr>
          <w:rFonts w:hint="eastAsia" w:ascii="Calibri" w:hAnsi="Calibri" w:eastAsia="宋体"/>
          <w:b/>
          <w:bCs/>
          <w:color w:val="000000"/>
        </w:rPr>
        <w:t>投标无效</w:t>
      </w:r>
      <w:r>
        <w:rPr>
          <w:rFonts w:hint="eastAsia" w:ascii="Calibri" w:hAnsi="Calibri" w:eastAsia="宋体"/>
          <w:color w:val="000000"/>
        </w:rPr>
        <w:t>：</w:t>
      </w:r>
    </w:p>
    <w:p w14:paraId="040F421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（1）不同投标人的</w:t>
      </w:r>
      <w:r>
        <w:rPr>
          <w:rFonts w:hint="eastAsia" w:ascii="Calibri" w:hAnsi="Calibri" w:eastAsia="宋体"/>
          <w:color w:val="000000"/>
          <w:lang w:eastAsia="zh-CN"/>
        </w:rPr>
        <w:t>电子投标文件</w:t>
      </w:r>
      <w:r>
        <w:rPr>
          <w:rFonts w:hint="eastAsia" w:ascii="Calibri" w:hAnsi="Calibri" w:eastAsia="宋体"/>
          <w:color w:val="000000"/>
        </w:rPr>
        <w:t>由同一单位或个人编制；</w:t>
      </w:r>
    </w:p>
    <w:p w14:paraId="4DF636F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（2）不同投标人委托同一单位或个人办理投标事宜；</w:t>
      </w:r>
    </w:p>
    <w:p w14:paraId="304FED6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（3）不同投标人的</w:t>
      </w:r>
      <w:r>
        <w:rPr>
          <w:rFonts w:hint="eastAsia" w:ascii="Calibri" w:hAnsi="Calibri" w:eastAsia="宋体"/>
          <w:color w:val="000000"/>
          <w:lang w:eastAsia="zh-CN"/>
        </w:rPr>
        <w:t>电子投标文件</w:t>
      </w:r>
      <w:r>
        <w:rPr>
          <w:rFonts w:hint="eastAsia" w:ascii="Calibri" w:hAnsi="Calibri" w:eastAsia="宋体"/>
          <w:color w:val="000000"/>
        </w:rPr>
        <w:t>载明的项目管理成员或联系人员为同一人；</w:t>
      </w:r>
    </w:p>
    <w:p w14:paraId="35FA1EE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（4）不同投标人的</w:t>
      </w:r>
      <w:r>
        <w:rPr>
          <w:rFonts w:hint="eastAsia" w:ascii="Calibri" w:hAnsi="Calibri" w:eastAsia="宋体"/>
          <w:color w:val="000000"/>
          <w:lang w:eastAsia="zh-CN"/>
        </w:rPr>
        <w:t>电子投标文件</w:t>
      </w:r>
      <w:r>
        <w:rPr>
          <w:rFonts w:hint="eastAsia" w:ascii="Calibri" w:hAnsi="Calibri" w:eastAsia="宋体"/>
          <w:color w:val="000000"/>
        </w:rPr>
        <w:t>异常一致或投标报价呈规律性差异；</w:t>
      </w:r>
    </w:p>
    <w:p w14:paraId="6ECFC5A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（5）不同投标人的</w:t>
      </w:r>
      <w:r>
        <w:rPr>
          <w:rFonts w:hint="eastAsia" w:ascii="Calibri" w:hAnsi="Calibri" w:eastAsia="宋体"/>
          <w:color w:val="000000"/>
          <w:lang w:eastAsia="zh-CN"/>
        </w:rPr>
        <w:t>电子投标文件</w:t>
      </w:r>
      <w:r>
        <w:rPr>
          <w:rFonts w:hint="eastAsia" w:ascii="Calibri" w:hAnsi="Calibri" w:eastAsia="宋体"/>
          <w:color w:val="000000"/>
        </w:rPr>
        <w:t>相互混装；</w:t>
      </w:r>
    </w:p>
    <w:p w14:paraId="49918ECC">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（6）不同投标人的投标保证金从同一单位或个人的账户转出；</w:t>
      </w:r>
    </w:p>
    <w:p w14:paraId="5354D6B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（7）有关法律、法规和规章及招标文件规定的其他串通投标情形。</w:t>
      </w:r>
    </w:p>
    <w:p w14:paraId="04DA2394">
      <w:pPr>
        <w:pStyle w:val="18"/>
        <w:widowControl/>
        <w:snapToGrid w:val="0"/>
        <w:spacing w:beforeAutospacing="0" w:afterAutospacing="0" w:line="500" w:lineRule="atLeast"/>
        <w:rPr>
          <w:rFonts w:hint="eastAsia" w:ascii="Calibri" w:hAnsi="Calibri" w:eastAsia="宋体"/>
          <w:color w:val="000000"/>
          <w:lang w:eastAsia="zh-CN"/>
        </w:rPr>
      </w:pPr>
      <w:r>
        <w:rPr>
          <w:rFonts w:hint="eastAsia" w:ascii="Calibri" w:hAnsi="Calibri" w:eastAsia="宋体"/>
          <w:color w:val="000000"/>
        </w:rPr>
        <w:t>10、</w:t>
      </w:r>
      <w:r>
        <w:rPr>
          <w:rFonts w:hint="eastAsia" w:ascii="Calibri" w:hAnsi="Calibri" w:eastAsia="宋体"/>
          <w:color w:val="000000"/>
          <w:lang w:eastAsia="zh-CN"/>
        </w:rPr>
        <w:t>电子投标文件</w:t>
      </w:r>
    </w:p>
    <w:p w14:paraId="09A5CAA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10.1</w:t>
      </w:r>
      <w:r>
        <w:rPr>
          <w:rFonts w:hint="eastAsia" w:ascii="Calibri" w:hAnsi="Calibri" w:eastAsia="宋体"/>
          <w:color w:val="000000"/>
          <w:lang w:eastAsia="zh-CN"/>
        </w:rPr>
        <w:t>电子投标文件</w:t>
      </w:r>
      <w:r>
        <w:rPr>
          <w:rFonts w:hint="eastAsia" w:ascii="Calibri" w:hAnsi="Calibri" w:eastAsia="宋体"/>
          <w:color w:val="000000"/>
        </w:rPr>
        <w:t>的编制</w:t>
      </w:r>
    </w:p>
    <w:p w14:paraId="39CAF9A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（1）投标人应先仔细阅读招标文件的全部内容后，再进行</w:t>
      </w:r>
      <w:r>
        <w:rPr>
          <w:rFonts w:hint="eastAsia" w:ascii="Calibri" w:hAnsi="Calibri" w:eastAsia="宋体"/>
          <w:color w:val="000000"/>
          <w:lang w:eastAsia="zh-CN"/>
        </w:rPr>
        <w:t>电子投标文件</w:t>
      </w:r>
      <w:r>
        <w:rPr>
          <w:rFonts w:hint="eastAsia" w:ascii="Calibri" w:hAnsi="Calibri" w:eastAsia="宋体"/>
          <w:color w:val="000000"/>
        </w:rPr>
        <w:t>的编制。</w:t>
      </w:r>
    </w:p>
    <w:p w14:paraId="3E5D81F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w:t>
      </w:r>
      <w:r>
        <w:rPr>
          <w:rFonts w:hint="eastAsia" w:ascii="Calibri" w:hAnsi="Calibri" w:eastAsia="宋体"/>
          <w:color w:val="000000"/>
          <w:lang w:eastAsia="zh-CN"/>
        </w:rPr>
        <w:t>电子投标文件</w:t>
      </w:r>
      <w:r>
        <w:rPr>
          <w:rFonts w:hint="eastAsia" w:ascii="Calibri" w:hAnsi="Calibri" w:eastAsia="宋体"/>
          <w:color w:val="000000"/>
        </w:rPr>
        <w:t>应按照本章第10.2条规定编制其组成部分。</w:t>
      </w:r>
    </w:p>
    <w:p w14:paraId="2524EA6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w:t>
      </w:r>
      <w:r>
        <w:rPr>
          <w:rFonts w:hint="eastAsia" w:ascii="Calibri" w:hAnsi="Calibri" w:eastAsia="宋体"/>
          <w:color w:val="000000"/>
          <w:lang w:eastAsia="zh-CN"/>
        </w:rPr>
        <w:t>电子投标文件</w:t>
      </w:r>
      <w:r>
        <w:rPr>
          <w:rFonts w:hint="eastAsia" w:ascii="Calibri" w:hAnsi="Calibri" w:eastAsia="宋体"/>
          <w:color w:val="000000"/>
        </w:rPr>
        <w:t>应满足招标文件提出的实质性要求和条件，并保证其所提交的全部资料是不可割离且真实、有效、准确、完整和不具有任何误导性的，否则造成不利后果由投标人承担责任。</w:t>
      </w:r>
    </w:p>
    <w:p w14:paraId="39416D0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10.2</w:t>
      </w:r>
      <w:r>
        <w:rPr>
          <w:rFonts w:hint="eastAsia" w:ascii="Calibri" w:hAnsi="Calibri" w:eastAsia="宋体"/>
          <w:color w:val="000000"/>
          <w:lang w:eastAsia="zh-CN"/>
        </w:rPr>
        <w:t>电子投标文件</w:t>
      </w:r>
      <w:r>
        <w:rPr>
          <w:rFonts w:hint="eastAsia" w:ascii="Calibri" w:hAnsi="Calibri" w:eastAsia="宋体"/>
          <w:color w:val="000000"/>
        </w:rPr>
        <w:t>由下述部分组成：</w:t>
      </w:r>
    </w:p>
    <w:p w14:paraId="4543054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（1）资格及资信证明部分</w:t>
      </w:r>
    </w:p>
    <w:p w14:paraId="2AFEF51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①投标函</w:t>
      </w:r>
    </w:p>
    <w:p w14:paraId="270CCFB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②投标人的资格及资信证明文件</w:t>
      </w:r>
    </w:p>
    <w:p w14:paraId="21F3878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③投标保证金</w:t>
      </w:r>
    </w:p>
    <w:p w14:paraId="3E094E1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（2）报价部分</w:t>
      </w:r>
    </w:p>
    <w:p w14:paraId="42572A5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①开标一览表</w:t>
      </w:r>
    </w:p>
    <w:p w14:paraId="47B0C9D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②投标分项报价表</w:t>
      </w:r>
    </w:p>
    <w:p w14:paraId="27E334FE">
      <w:pPr>
        <w:pStyle w:val="18"/>
        <w:widowControl/>
        <w:snapToGrid w:val="0"/>
        <w:spacing w:beforeAutospacing="0" w:afterAutospacing="0" w:line="500" w:lineRule="atLeast"/>
        <w:ind w:firstLine="480" w:firstLineChars="200"/>
        <w:rPr>
          <w:rFonts w:ascii="Calibri" w:hAnsi="Calibri" w:eastAsia="宋体"/>
          <w:color w:val="000000"/>
          <w:highlight w:val="none"/>
        </w:rPr>
      </w:pPr>
      <w:r>
        <w:rPr>
          <w:rFonts w:hint="eastAsia" w:ascii="Calibri" w:hAnsi="Calibri" w:eastAsia="宋体"/>
          <w:color w:val="000000"/>
        </w:rPr>
        <w:t>③</w:t>
      </w:r>
      <w:r>
        <w:rPr>
          <w:rFonts w:hint="eastAsia" w:ascii="Calibri" w:hAnsi="Calibri" w:eastAsia="宋体"/>
          <w:color w:val="000000"/>
          <w:highlight w:val="none"/>
        </w:rPr>
        <w:t>退回保证金说明函</w:t>
      </w:r>
    </w:p>
    <w:p w14:paraId="761AD6B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（3）技术商务部分</w:t>
      </w:r>
    </w:p>
    <w:p w14:paraId="22A8343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①标的说明一览表</w:t>
      </w:r>
    </w:p>
    <w:p w14:paraId="16E3CDF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②技术和服务要求响应表</w:t>
      </w:r>
    </w:p>
    <w:p w14:paraId="3CF3721C">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③商务条件响应表</w:t>
      </w:r>
    </w:p>
    <w:p w14:paraId="72EAD89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④技术商务部分评分内容对应表</w:t>
      </w:r>
    </w:p>
    <w:p w14:paraId="4CDD20F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⑤投标人提交的其他资料（若有）</w:t>
      </w:r>
    </w:p>
    <w:p w14:paraId="5B50C5D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10.3</w:t>
      </w:r>
      <w:r>
        <w:rPr>
          <w:rFonts w:hint="eastAsia" w:ascii="Calibri" w:hAnsi="Calibri" w:eastAsia="宋体"/>
          <w:color w:val="000000"/>
          <w:lang w:eastAsia="zh-CN"/>
        </w:rPr>
        <w:t>电子投标文件</w:t>
      </w:r>
      <w:r>
        <w:rPr>
          <w:rFonts w:hint="eastAsia" w:ascii="Calibri" w:hAnsi="Calibri" w:eastAsia="宋体"/>
          <w:color w:val="000000"/>
        </w:rPr>
        <w:t>的语言</w:t>
      </w:r>
    </w:p>
    <w:p w14:paraId="3AC007C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（1）除招标文件另有规定外，</w:t>
      </w:r>
      <w:r>
        <w:rPr>
          <w:rFonts w:hint="eastAsia" w:ascii="Calibri" w:hAnsi="Calibri" w:eastAsia="宋体"/>
          <w:color w:val="000000"/>
          <w:lang w:eastAsia="zh-CN"/>
        </w:rPr>
        <w:t>电子投标文件</w:t>
      </w:r>
      <w:r>
        <w:rPr>
          <w:rFonts w:hint="eastAsia" w:ascii="Calibri" w:hAnsi="Calibri" w:eastAsia="宋体"/>
          <w:color w:val="000000"/>
        </w:rPr>
        <w:t>应使用中文文本，若有不同文本，以中文文本为准。</w:t>
      </w:r>
    </w:p>
    <w:p w14:paraId="1981769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w:t>
      </w:r>
      <w:r>
        <w:rPr>
          <w:rFonts w:hint="eastAsia" w:ascii="Calibri" w:hAnsi="Calibri" w:eastAsia="宋体"/>
          <w:color w:val="000000"/>
          <w:lang w:eastAsia="zh-CN"/>
        </w:rPr>
        <w:t>电子投标文件</w:t>
      </w:r>
      <w:r>
        <w:rPr>
          <w:rFonts w:hint="eastAsia" w:ascii="Calibri" w:hAnsi="Calibri" w:eastAsia="宋体"/>
          <w:color w:val="000000"/>
        </w:rPr>
        <w:t>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0452D3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10.4</w:t>
      </w:r>
      <w:r>
        <w:rPr>
          <w:rFonts w:hint="eastAsia" w:ascii="Calibri" w:hAnsi="Calibri" w:eastAsia="宋体"/>
          <w:color w:val="000000"/>
          <w:lang w:eastAsia="zh-CN"/>
        </w:rPr>
        <w:t>电子投标文件</w:t>
      </w:r>
      <w:r>
        <w:rPr>
          <w:rFonts w:hint="eastAsia" w:ascii="Calibri" w:hAnsi="Calibri" w:eastAsia="宋体"/>
          <w:color w:val="000000"/>
        </w:rPr>
        <w:t>的份数：详见招标文件第二章。</w:t>
      </w:r>
    </w:p>
    <w:p w14:paraId="5805EBE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10.5</w:t>
      </w:r>
      <w:r>
        <w:rPr>
          <w:rFonts w:hint="eastAsia" w:ascii="Calibri" w:hAnsi="Calibri" w:eastAsia="宋体"/>
          <w:color w:val="000000"/>
          <w:lang w:eastAsia="zh-CN"/>
        </w:rPr>
        <w:t>电子投标文件</w:t>
      </w:r>
      <w:r>
        <w:rPr>
          <w:rFonts w:hint="eastAsia" w:ascii="Calibri" w:hAnsi="Calibri" w:eastAsia="宋体"/>
          <w:color w:val="000000"/>
        </w:rPr>
        <w:t>的格式</w:t>
      </w:r>
    </w:p>
    <w:p w14:paraId="2872A32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（1）除招标文件另有规定外，</w:t>
      </w:r>
      <w:r>
        <w:rPr>
          <w:rFonts w:hint="eastAsia" w:ascii="Calibri" w:hAnsi="Calibri" w:eastAsia="宋体" w:cs="Times New Roman"/>
          <w:color w:val="000000"/>
        </w:rPr>
        <w:t>电子</w:t>
      </w:r>
      <w:r>
        <w:rPr>
          <w:rFonts w:hint="eastAsia" w:ascii="Calibri" w:hAnsi="Calibri" w:eastAsia="宋体"/>
          <w:color w:val="000000"/>
        </w:rPr>
        <w:t>投标文件应使用招标文件第七章规定的格式。</w:t>
      </w:r>
    </w:p>
    <w:p w14:paraId="54471E3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（2）除招标文件另有规定外，</w:t>
      </w:r>
      <w:r>
        <w:rPr>
          <w:rFonts w:hint="eastAsia" w:ascii="Calibri" w:hAnsi="Calibri" w:eastAsia="宋体" w:cs="Times New Roman"/>
          <w:color w:val="000000"/>
        </w:rPr>
        <w:t>电子</w:t>
      </w:r>
      <w:r>
        <w:rPr>
          <w:rFonts w:hint="eastAsia" w:ascii="Calibri" w:hAnsi="Calibri" w:eastAsia="宋体"/>
          <w:color w:val="000000"/>
        </w:rPr>
        <w:t>投标文件应使用不能擦去的墨料或墨水打印、书写或复印。</w:t>
      </w:r>
    </w:p>
    <w:p w14:paraId="3F5BFA7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（3）除招标文件另有规定外，</w:t>
      </w:r>
      <w:r>
        <w:rPr>
          <w:rFonts w:hint="eastAsia" w:ascii="Calibri" w:hAnsi="Calibri" w:eastAsia="宋体"/>
          <w:color w:val="000000"/>
          <w:lang w:eastAsia="zh-CN"/>
        </w:rPr>
        <w:t>电子投标文件</w:t>
      </w:r>
      <w:r>
        <w:rPr>
          <w:rFonts w:hint="eastAsia" w:ascii="Calibri" w:hAnsi="Calibri" w:eastAsia="宋体"/>
          <w:color w:val="000000"/>
        </w:rPr>
        <w:t>应使用人民币作为计量货币。</w:t>
      </w:r>
    </w:p>
    <w:p w14:paraId="0DBD16A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（4）除招标文件另有规定外，签署、盖章应遵守下列规定：</w:t>
      </w:r>
    </w:p>
    <w:p w14:paraId="56215AB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w:t>
      </w:r>
      <w:r>
        <w:rPr>
          <w:rFonts w:hint="eastAsia" w:ascii="Calibri" w:hAnsi="Calibri" w:eastAsia="宋体"/>
          <w:color w:val="000000"/>
          <w:lang w:eastAsia="zh-CN"/>
        </w:rPr>
        <w:t>电子投标文件</w:t>
      </w:r>
      <w:r>
        <w:rPr>
          <w:rFonts w:hint="eastAsia" w:ascii="Calibri" w:hAnsi="Calibri" w:eastAsia="宋体"/>
          <w:color w:val="000000"/>
        </w:rPr>
        <w:t>应加盖投标人的单位公章。若投标人代表为单位授权的委托代理人，应提供“单位授权书”。</w:t>
      </w:r>
    </w:p>
    <w:p w14:paraId="192EC80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w:t>
      </w:r>
      <w:r>
        <w:rPr>
          <w:rFonts w:hint="eastAsia" w:ascii="Calibri" w:hAnsi="Calibri" w:eastAsia="宋体"/>
          <w:color w:val="000000"/>
          <w:lang w:eastAsia="zh-CN"/>
        </w:rPr>
        <w:t>电子投标文件</w:t>
      </w:r>
      <w:r>
        <w:rPr>
          <w:rFonts w:hint="eastAsia" w:ascii="Calibri" w:hAnsi="Calibri" w:eastAsia="宋体"/>
          <w:color w:val="000000"/>
        </w:rPr>
        <w:t>应没有涂改或行间插字，除非这些改动是根据福建省新卫招标代理有限公司的指示进行的，或是为改正投标人造成的应修改的错误而进行的。若有前述改动，应按照下列规定之一对改动处进行处理：</w:t>
      </w:r>
    </w:p>
    <w:p w14:paraId="5B49B89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a.投标人代表签字确认；</w:t>
      </w:r>
    </w:p>
    <w:p w14:paraId="6EA8116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b.加盖投标人的单位公章或校正章。</w:t>
      </w:r>
    </w:p>
    <w:p w14:paraId="2BEF502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10.6投标报价</w:t>
      </w:r>
    </w:p>
    <w:p w14:paraId="4C06EE7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（1）投标报价超出最高限价将导致</w:t>
      </w:r>
      <w:r>
        <w:rPr>
          <w:rFonts w:hint="eastAsia" w:ascii="Calibri" w:hAnsi="Calibri" w:eastAsia="宋体"/>
          <w:b/>
          <w:bCs/>
          <w:color w:val="000000"/>
        </w:rPr>
        <w:t>投标无效</w:t>
      </w:r>
      <w:r>
        <w:rPr>
          <w:rFonts w:hint="eastAsia" w:ascii="Calibri" w:hAnsi="Calibri" w:eastAsia="宋体"/>
          <w:color w:val="000000"/>
        </w:rPr>
        <w:t>。</w:t>
      </w:r>
    </w:p>
    <w:p w14:paraId="412697A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（2）最高限价由采购人根据价格测算情况，在预算金额的额度内合理设定。最高限价不得超出预算金额。</w:t>
      </w:r>
    </w:p>
    <w:p w14:paraId="13187B5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（3）除招标文件另有规定外，</w:t>
      </w:r>
      <w:r>
        <w:rPr>
          <w:rFonts w:hint="eastAsia" w:ascii="Calibri" w:hAnsi="Calibri" w:eastAsia="宋体"/>
          <w:color w:val="000000"/>
          <w:lang w:eastAsia="zh-CN"/>
        </w:rPr>
        <w:t>电子投标文件</w:t>
      </w:r>
      <w:r>
        <w:rPr>
          <w:rFonts w:hint="eastAsia" w:ascii="Calibri" w:hAnsi="Calibri" w:eastAsia="宋体"/>
          <w:color w:val="000000"/>
        </w:rPr>
        <w:t>不能出现任何选择性的投标报价，即每一个采购包和品目号的采购标的都只能有一个投标报价。任何选择性的投标报价将导致</w:t>
      </w:r>
      <w:r>
        <w:rPr>
          <w:rFonts w:hint="eastAsia" w:ascii="Calibri" w:hAnsi="Calibri" w:eastAsia="宋体"/>
          <w:b/>
          <w:bCs/>
          <w:color w:val="000000"/>
        </w:rPr>
        <w:t>投标无效</w:t>
      </w:r>
      <w:r>
        <w:rPr>
          <w:rFonts w:hint="eastAsia" w:ascii="Calibri" w:hAnsi="Calibri" w:eastAsia="宋体"/>
          <w:color w:val="000000"/>
        </w:rPr>
        <w:t>。</w:t>
      </w:r>
    </w:p>
    <w:p w14:paraId="06CB7B7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10.7分包</w:t>
      </w:r>
    </w:p>
    <w:p w14:paraId="44067EB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（1）是否允许中标人将本项目的非主体、非关键性工作进行分包：详见招标文件第二章。</w:t>
      </w:r>
    </w:p>
    <w:p w14:paraId="7B21E96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（2）若允许中标人将本项目的非主体、非关键性工作进行分包且投标人拟在中标后进行分包，则应在</w:t>
      </w:r>
      <w:r>
        <w:rPr>
          <w:rFonts w:hint="eastAsia" w:ascii="Calibri" w:hAnsi="Calibri" w:eastAsia="宋体"/>
          <w:color w:val="000000"/>
          <w:lang w:eastAsia="zh-CN"/>
        </w:rPr>
        <w:t>电子投标文件</w:t>
      </w:r>
      <w:r>
        <w:rPr>
          <w:rFonts w:hint="eastAsia" w:ascii="Calibri" w:hAnsi="Calibri" w:eastAsia="宋体"/>
          <w:color w:val="000000"/>
        </w:rPr>
        <w:t>中提供分包意向协议，同时投标人应在</w:t>
      </w:r>
      <w:r>
        <w:rPr>
          <w:rFonts w:hint="eastAsia" w:ascii="Calibri" w:hAnsi="Calibri" w:eastAsia="宋体"/>
          <w:color w:val="000000"/>
          <w:lang w:eastAsia="zh-CN"/>
        </w:rPr>
        <w:t>电子投标文件</w:t>
      </w:r>
      <w:r>
        <w:rPr>
          <w:rFonts w:hint="eastAsia" w:ascii="Calibri" w:hAnsi="Calibri" w:eastAsia="宋体"/>
          <w:color w:val="000000"/>
        </w:rPr>
        <w:t>中载明分包承担主体，分包承担主体应具备相应资质条件（若有）且不得再次分包。</w:t>
      </w:r>
    </w:p>
    <w:p w14:paraId="6C4EDE2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（3）招标文件允许中标人将非主体、非关键性工作进行分包的项目，有下列情形之一的，中标人不得分包：</w:t>
      </w:r>
    </w:p>
    <w:p w14:paraId="6B4FA84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w:t>
      </w:r>
      <w:r>
        <w:rPr>
          <w:rFonts w:hint="eastAsia" w:ascii="Calibri" w:hAnsi="Calibri" w:eastAsia="宋体"/>
          <w:color w:val="000000"/>
          <w:lang w:eastAsia="zh-CN"/>
        </w:rPr>
        <w:t>电子投标文件</w:t>
      </w:r>
      <w:r>
        <w:rPr>
          <w:rFonts w:hint="eastAsia" w:ascii="Calibri" w:hAnsi="Calibri" w:eastAsia="宋体"/>
          <w:color w:val="000000"/>
        </w:rPr>
        <w:t>中未载明分包承担主体；</w:t>
      </w:r>
    </w:p>
    <w:p w14:paraId="19C1D48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w:t>
      </w:r>
      <w:r>
        <w:rPr>
          <w:rFonts w:hint="eastAsia" w:ascii="Calibri" w:hAnsi="Calibri" w:eastAsia="宋体"/>
          <w:color w:val="000000"/>
          <w:lang w:eastAsia="zh-CN"/>
        </w:rPr>
        <w:t>电子投标文件</w:t>
      </w:r>
      <w:r>
        <w:rPr>
          <w:rFonts w:hint="eastAsia" w:ascii="Calibri" w:hAnsi="Calibri" w:eastAsia="宋体"/>
          <w:color w:val="000000"/>
        </w:rPr>
        <w:t>载明的分包承担主体不具备相应资质条件；</w:t>
      </w:r>
    </w:p>
    <w:p w14:paraId="0E9289D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w:t>
      </w:r>
      <w:r>
        <w:rPr>
          <w:rFonts w:hint="eastAsia" w:ascii="Calibri" w:hAnsi="Calibri" w:eastAsia="宋体"/>
          <w:color w:val="000000"/>
          <w:lang w:eastAsia="zh-CN"/>
        </w:rPr>
        <w:t>电子投标文件</w:t>
      </w:r>
      <w:r>
        <w:rPr>
          <w:rFonts w:hint="eastAsia" w:ascii="Calibri" w:hAnsi="Calibri" w:eastAsia="宋体"/>
          <w:color w:val="000000"/>
        </w:rPr>
        <w:t>载明的分包承担主体拟再次分包；</w:t>
      </w:r>
    </w:p>
    <w:p w14:paraId="4CA3839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10.8投标有效期</w:t>
      </w:r>
    </w:p>
    <w:p w14:paraId="24A65A0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（1）招标文件载明的投标有效期：详见招标文件第二章。</w:t>
      </w:r>
    </w:p>
    <w:p w14:paraId="5E26B60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w:t>
      </w:r>
      <w:r>
        <w:rPr>
          <w:rFonts w:hint="eastAsia" w:ascii="Calibri" w:hAnsi="Calibri" w:eastAsia="宋体"/>
          <w:color w:val="000000"/>
          <w:lang w:eastAsia="zh-CN"/>
        </w:rPr>
        <w:t>电子投标文件</w:t>
      </w:r>
      <w:r>
        <w:rPr>
          <w:rFonts w:hint="eastAsia" w:ascii="Calibri" w:hAnsi="Calibri" w:eastAsia="宋体"/>
          <w:color w:val="000000"/>
        </w:rPr>
        <w:t>承诺的投标有效期不得少于招标文件载明的投标有效期，否则</w:t>
      </w:r>
      <w:r>
        <w:rPr>
          <w:rFonts w:hint="eastAsia" w:ascii="Calibri" w:hAnsi="Calibri" w:eastAsia="宋体"/>
          <w:b/>
          <w:bCs/>
          <w:color w:val="000000"/>
        </w:rPr>
        <w:t>投标无效</w:t>
      </w:r>
      <w:r>
        <w:rPr>
          <w:rFonts w:hint="eastAsia" w:ascii="Calibri" w:hAnsi="Calibri" w:eastAsia="宋体"/>
          <w:color w:val="000000"/>
        </w:rPr>
        <w:t>。</w:t>
      </w:r>
    </w:p>
    <w:p w14:paraId="43EA4B4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根据本次采购活动的需要，福建省新卫招标代理有限公司可于投标有效期届满之前书面要求投标人延长投标有效期，投标人应在福建省新卫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w:t>
      </w:r>
      <w:r>
        <w:rPr>
          <w:rFonts w:hint="eastAsia" w:ascii="Calibri" w:hAnsi="Calibri" w:eastAsia="宋体"/>
          <w:color w:val="000000"/>
          <w:lang w:eastAsia="zh-CN"/>
        </w:rPr>
        <w:t>电子投标文件</w:t>
      </w:r>
      <w:r>
        <w:rPr>
          <w:rFonts w:hint="eastAsia" w:ascii="Calibri" w:hAnsi="Calibri" w:eastAsia="宋体"/>
          <w:color w:val="000000"/>
        </w:rPr>
        <w:t>。</w:t>
      </w:r>
    </w:p>
    <w:p w14:paraId="0C3468F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10.9投标保证金</w:t>
      </w:r>
    </w:p>
    <w:p w14:paraId="338C8ED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（1）投标保证金作为投标人按照招标文件规定履行相应投标责任、义务的约束及担保。</w:t>
      </w:r>
    </w:p>
    <w:p w14:paraId="3B081DC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（2）投标保证金的有效期应与</w:t>
      </w:r>
      <w:r>
        <w:rPr>
          <w:rFonts w:hint="eastAsia" w:ascii="Calibri" w:hAnsi="Calibri" w:eastAsia="宋体"/>
          <w:color w:val="000000"/>
          <w:lang w:eastAsia="zh-CN"/>
        </w:rPr>
        <w:t>电子投标文件</w:t>
      </w:r>
      <w:r>
        <w:rPr>
          <w:rFonts w:hint="eastAsia" w:ascii="Calibri" w:hAnsi="Calibri" w:eastAsia="宋体"/>
          <w:color w:val="000000"/>
        </w:rPr>
        <w:t>承诺的投标有效期保持一致，否则</w:t>
      </w:r>
      <w:r>
        <w:rPr>
          <w:rFonts w:hint="eastAsia" w:ascii="Calibri" w:hAnsi="Calibri" w:eastAsia="宋体"/>
          <w:b/>
          <w:bCs/>
          <w:color w:val="000000"/>
        </w:rPr>
        <w:t>投标无效</w:t>
      </w:r>
      <w:r>
        <w:rPr>
          <w:rFonts w:hint="eastAsia" w:ascii="Calibri" w:hAnsi="Calibri" w:eastAsia="宋体"/>
          <w:color w:val="000000"/>
        </w:rPr>
        <w:t>。</w:t>
      </w:r>
    </w:p>
    <w:p w14:paraId="4E1E8AAC">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（3）提交</w:t>
      </w:r>
    </w:p>
    <w:p w14:paraId="013823A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①投标人应从其银行账户（基本存款账户）按照下列方式：公对公转账方式向招标文件载明的投标保证金账户提交投标保证金，具体金额详见招标文件第一章。</w:t>
      </w:r>
    </w:p>
    <w:p w14:paraId="45CECC4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②投标保证金应于投标截止时间前到达招标文件载明的投标保证金账户，否则视为投标保证金未提交；是否到达按照下列方式认定：福建省新卫招标代理有限公司保证金账号银行查询为准。</w:t>
      </w:r>
    </w:p>
    <w:p w14:paraId="279B375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③若本项目接受联合体投标且投标人为联合体，则联合体中的牵头方应按照本章第10.9条第（3）款第①、②点规定提交投标保证金。</w:t>
      </w:r>
    </w:p>
    <w:p w14:paraId="0E969BA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※除招标文件另有规定外，未按照上述规定提交投标保证金将导致资格审查不合格。</w:t>
      </w:r>
    </w:p>
    <w:p w14:paraId="6486536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（4）退还</w:t>
      </w:r>
    </w:p>
    <w:p w14:paraId="4D237D0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①在投标截止时间前撤回已提交的</w:t>
      </w:r>
      <w:r>
        <w:rPr>
          <w:rFonts w:hint="eastAsia" w:ascii="Calibri" w:hAnsi="Calibri" w:eastAsia="宋体"/>
          <w:color w:val="000000"/>
          <w:lang w:eastAsia="zh-CN"/>
        </w:rPr>
        <w:t>电子投标文件</w:t>
      </w:r>
      <w:r>
        <w:rPr>
          <w:rFonts w:hint="eastAsia" w:ascii="Calibri" w:hAnsi="Calibri" w:eastAsia="宋体"/>
          <w:color w:val="000000"/>
        </w:rPr>
        <w:t>的投标人，其投标保证金将在福建省新卫招标代理有限公司收到投标人书面撤回通知之日起5个工作日内退回原账户。</w:t>
      </w:r>
    </w:p>
    <w:p w14:paraId="2854DC7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②未中标人的投标保证金将在中标通知书发出之日起5个工作日内退回原账户。</w:t>
      </w:r>
    </w:p>
    <w:p w14:paraId="3A0C586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③中标人的投标保证金将在政府采购合同签订之日起5个工作日内退回原账户；合同签订之日按照下列方式认定：以合同签订时间为准。</w:t>
      </w:r>
    </w:p>
    <w:p w14:paraId="2025AEC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④终止招标的，福建省新卫招标代理有限公司将在终止公告发布之日起5个工作日内退回已收取的投标保证金及其在银行产生的孳息。</w:t>
      </w:r>
    </w:p>
    <w:p w14:paraId="2C5DBEF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⑤除招标文件另有规定外，质疑或投诉涉及的投标人，若投标保证金尚未退还，则待质疑或投诉处理完毕后不计利息原额退还。</w:t>
      </w:r>
    </w:p>
    <w:p w14:paraId="154447C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※本章第10.9条第（4）款第①、②、③点规定的投标保证金退还时限不包括因投标人自身原因导致无法及时退还而增加的时间。</w:t>
      </w:r>
    </w:p>
    <w:p w14:paraId="0C45E17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DEF851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（6）有下列情形之一的，投标保证金将不予退还：</w:t>
      </w:r>
    </w:p>
    <w:p w14:paraId="20F015B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①投标人串通投标；</w:t>
      </w:r>
    </w:p>
    <w:p w14:paraId="0088240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②投标人提供虚假材料；</w:t>
      </w:r>
    </w:p>
    <w:p w14:paraId="0B3F960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③投标人采取不正当手段诋毁、排挤其他投标人；</w:t>
      </w:r>
    </w:p>
    <w:p w14:paraId="64D2D1E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④投标截止时间后，投标人在投标有效期内撤销</w:t>
      </w:r>
      <w:r>
        <w:rPr>
          <w:rFonts w:hint="eastAsia" w:ascii="Calibri" w:hAnsi="Calibri" w:eastAsia="宋体"/>
          <w:color w:val="000000"/>
          <w:lang w:eastAsia="zh-CN"/>
        </w:rPr>
        <w:t>电子投标文件</w:t>
      </w:r>
      <w:r>
        <w:rPr>
          <w:rFonts w:hint="eastAsia" w:ascii="Calibri" w:hAnsi="Calibri" w:eastAsia="宋体"/>
          <w:color w:val="000000"/>
        </w:rPr>
        <w:t>；</w:t>
      </w:r>
    </w:p>
    <w:p w14:paraId="0786DB4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⑤招标文件规定的其他不予退还情形；</w:t>
      </w:r>
    </w:p>
    <w:p w14:paraId="7752522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⑥中标人有下列情形之一的：</w:t>
      </w:r>
    </w:p>
    <w:p w14:paraId="094F67F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a.除不可抗力外，因中标人自身原因未在中标通知书要求的期限内与采购人签订政府采购合同；</w:t>
      </w:r>
    </w:p>
    <w:p w14:paraId="5DA2B06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b.未按照招标文件、</w:t>
      </w:r>
      <w:r>
        <w:rPr>
          <w:rFonts w:hint="eastAsia" w:ascii="Calibri" w:hAnsi="Calibri" w:eastAsia="宋体"/>
          <w:color w:val="000000"/>
          <w:lang w:eastAsia="zh-CN"/>
        </w:rPr>
        <w:t>电子投标文件</w:t>
      </w:r>
      <w:r>
        <w:rPr>
          <w:rFonts w:hint="eastAsia" w:ascii="Calibri" w:hAnsi="Calibri" w:eastAsia="宋体"/>
          <w:color w:val="000000"/>
        </w:rPr>
        <w:t>的约定签订政府采购合同或提交履约保证金。</w:t>
      </w:r>
    </w:p>
    <w:p w14:paraId="3BA2847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※若上述投标保证金不予退还情形给采购人（采购代理机构）造成损失，则投标人还要承担相应的赔偿责任。</w:t>
      </w:r>
    </w:p>
    <w:p w14:paraId="7DED877A">
      <w:pPr>
        <w:pStyle w:val="18"/>
        <w:widowControl/>
        <w:snapToGrid w:val="0"/>
        <w:spacing w:beforeAutospacing="0" w:afterAutospacing="0" w:line="500" w:lineRule="atLeast"/>
        <w:ind w:firstLineChars="200"/>
        <w:jc w:val="both"/>
        <w:rPr>
          <w:rFonts w:hint="eastAsia" w:ascii="Calibri" w:hAnsi="Calibri" w:eastAsia="宋体"/>
          <w:color w:val="000000"/>
        </w:rPr>
      </w:pPr>
      <w:r>
        <w:rPr>
          <w:rFonts w:hint="eastAsia" w:ascii="Calibri" w:hAnsi="Calibri" w:eastAsia="宋体" w:cs="Times New Roman"/>
          <w:color w:val="000000"/>
        </w:rPr>
        <w:t>10.10电子投标文件的提交</w:t>
      </w:r>
    </w:p>
    <w:p w14:paraId="4A61FC5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s="Times New Roman"/>
          <w:color w:val="000000"/>
        </w:rPr>
        <w:t>（1）一个投标人只能提交一个电子投标文件，并按照招标文件第一章规定在系统上完成上传、解密操作。</w:t>
      </w:r>
    </w:p>
    <w:p w14:paraId="3CE36F6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10.11</w:t>
      </w:r>
      <w:r>
        <w:rPr>
          <w:rFonts w:hint="eastAsia" w:ascii="Calibri" w:hAnsi="Calibri" w:eastAsia="宋体"/>
          <w:color w:val="000000"/>
          <w:lang w:eastAsia="zh-CN"/>
        </w:rPr>
        <w:t>电子投标文件</w:t>
      </w:r>
      <w:r>
        <w:rPr>
          <w:rFonts w:hint="eastAsia" w:ascii="Calibri" w:hAnsi="Calibri" w:eastAsia="宋体"/>
          <w:color w:val="000000"/>
        </w:rPr>
        <w:t>的补充、修改或撤回</w:t>
      </w:r>
    </w:p>
    <w:p w14:paraId="1D683C9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（1）投标截止时间前，投标人可对所提交的</w:t>
      </w:r>
      <w:r>
        <w:rPr>
          <w:rFonts w:hint="eastAsia" w:ascii="Calibri" w:hAnsi="Calibri" w:eastAsia="宋体"/>
          <w:color w:val="000000"/>
          <w:lang w:eastAsia="zh-CN"/>
        </w:rPr>
        <w:t>电子投标文件</w:t>
      </w:r>
      <w:r>
        <w:rPr>
          <w:rFonts w:hint="eastAsia" w:ascii="Calibri" w:hAnsi="Calibri" w:eastAsia="宋体"/>
          <w:color w:val="000000"/>
        </w:rPr>
        <w:t>进行补充、修改或撤回，并书面通知福建省新卫招标代理有限公司。</w:t>
      </w:r>
    </w:p>
    <w:p w14:paraId="5CFC618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（2）补充、修改的内容应按照本章第10.5条第（4）款规定进行签署、盖章，并按照本章第10.10条规定提交，否则将被拒收。</w:t>
      </w:r>
    </w:p>
    <w:p w14:paraId="536654F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※按照上述规定提交的补充、修改内容作为</w:t>
      </w:r>
      <w:r>
        <w:rPr>
          <w:rFonts w:hint="eastAsia" w:ascii="Calibri" w:hAnsi="Calibri" w:eastAsia="宋体"/>
          <w:color w:val="000000"/>
          <w:lang w:eastAsia="zh-CN"/>
        </w:rPr>
        <w:t>电子投标文件</w:t>
      </w:r>
      <w:r>
        <w:rPr>
          <w:rFonts w:hint="eastAsia" w:ascii="Calibri" w:hAnsi="Calibri" w:eastAsia="宋体"/>
          <w:color w:val="000000"/>
        </w:rPr>
        <w:t>组成部分。</w:t>
      </w:r>
    </w:p>
    <w:p w14:paraId="7485CF6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10.12除招标文件另有规定外，有下列情形之一的，</w:t>
      </w:r>
      <w:r>
        <w:rPr>
          <w:rFonts w:hint="eastAsia" w:ascii="Calibri" w:hAnsi="Calibri" w:eastAsia="宋体"/>
          <w:b/>
          <w:bCs/>
          <w:color w:val="000000"/>
        </w:rPr>
        <w:t>投标无效</w:t>
      </w:r>
      <w:r>
        <w:rPr>
          <w:rFonts w:hint="eastAsia" w:ascii="Calibri" w:hAnsi="Calibri" w:eastAsia="宋体"/>
          <w:color w:val="000000"/>
        </w:rPr>
        <w:t>：</w:t>
      </w:r>
    </w:p>
    <w:p w14:paraId="7E2B91D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w:t>
      </w:r>
      <w:r>
        <w:rPr>
          <w:rFonts w:hint="eastAsia" w:ascii="Calibri" w:hAnsi="Calibri" w:eastAsia="宋体"/>
          <w:color w:val="000000"/>
          <w:lang w:eastAsia="zh-CN"/>
        </w:rPr>
        <w:t>电子投标文件</w:t>
      </w:r>
      <w:r>
        <w:rPr>
          <w:rFonts w:hint="eastAsia" w:ascii="Calibri" w:hAnsi="Calibri" w:eastAsia="宋体"/>
          <w:color w:val="000000"/>
        </w:rPr>
        <w:t>未按照招标文件要求签署、盖章；</w:t>
      </w:r>
    </w:p>
    <w:p w14:paraId="5E16F30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（2）不符合招标文件中规定的资格要求；</w:t>
      </w:r>
    </w:p>
    <w:p w14:paraId="5BAD994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（3）投标报价超过招标文件中规定的预算金额或最高限价；</w:t>
      </w:r>
    </w:p>
    <w:p w14:paraId="2B956BD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w:t>
      </w:r>
      <w:r>
        <w:rPr>
          <w:rFonts w:hint="eastAsia" w:ascii="Calibri" w:hAnsi="Calibri" w:eastAsia="宋体"/>
          <w:color w:val="000000"/>
          <w:lang w:eastAsia="zh-CN"/>
        </w:rPr>
        <w:t>电子投标文件</w:t>
      </w:r>
      <w:r>
        <w:rPr>
          <w:rFonts w:hint="eastAsia" w:ascii="Calibri" w:hAnsi="Calibri" w:eastAsia="宋体"/>
          <w:color w:val="000000"/>
        </w:rPr>
        <w:t>含有采购人不能接受的附加条件；</w:t>
      </w:r>
    </w:p>
    <w:p w14:paraId="3ED9BF3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（5）有关法律、法规和规章及招标文件规定的其他无效情形。</w:t>
      </w:r>
    </w:p>
    <w:p w14:paraId="3D377A03">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3" w:name="_Toc25933"/>
      <w:r>
        <w:rPr>
          <w:rFonts w:hint="eastAsia" w:ascii="Calibri" w:hAnsi="Calibri" w:eastAsia="宋体"/>
          <w:b/>
          <w:bCs/>
          <w:color w:val="000000"/>
        </w:rPr>
        <w:t>五、开标</w:t>
      </w:r>
      <w:bookmarkEnd w:id="23"/>
    </w:p>
    <w:p w14:paraId="305D1061">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11、开标</w:t>
      </w:r>
    </w:p>
    <w:p w14:paraId="4046662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11.1福建省新卫招标代理有限公司将在招标文件载明的开标时间及地点主持召开开标会，并邀请投标人参加。</w:t>
      </w:r>
    </w:p>
    <w:p w14:paraId="44D04D5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11.2开标会的主持人、唱标人、记录人及其他工作人员（若有）均由福建省新卫招标代理有限公司派出，现场监督人员（若有）可由有关方面派出。</w:t>
      </w:r>
    </w:p>
    <w:p w14:paraId="24DDA33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9333D8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11.4开标会应遵守下列规定：</w:t>
      </w:r>
    </w:p>
    <w:p w14:paraId="563FF2B6">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C654E22">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1572865">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（3）唱标结束后，参加现场开标会的投标人代表应对开标记录进行签字确认，通过远程参与开标流程的投标人须在系统远程签章开启后，在系统规定时间内对开标结果进行签章确认。</w:t>
      </w:r>
    </w:p>
    <w:p w14:paraId="66C195FB">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B532865">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（5）若投标人未到开标现场参加开标会，也未通过远程参加开标会的，视同认可开标结果。</w:t>
      </w:r>
    </w:p>
    <w:p w14:paraId="4ECAEC6C">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2C5172BB">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11.5投标截止时间后，参加投标的投标人不足三家的，不进行开标。同时，本次采购活动结束， 福建省新卫招标代理有限公司 将依法组织后续采购活动（包括但不限于：重新招标、采用其他方式采购等）。</w:t>
      </w:r>
    </w:p>
    <w:p w14:paraId="23E1CCD6">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11.6投标截止时间后撤销投标的处理</w:t>
      </w:r>
    </w:p>
    <w:p w14:paraId="71B3A186">
      <w:pPr>
        <w:pStyle w:val="18"/>
        <w:widowControl/>
        <w:snapToGrid w:val="0"/>
        <w:spacing w:beforeAutospacing="0" w:afterAutospacing="0" w:line="500" w:lineRule="atLeast"/>
        <w:ind w:firstLine="480" w:firstLineChars="200"/>
        <w:rPr>
          <w:rFonts w:ascii="Calibri" w:hAnsi="Calibri" w:eastAsia="宋体"/>
          <w:color w:val="000000"/>
        </w:rPr>
      </w:pPr>
      <w:r>
        <w:rPr>
          <w:rFonts w:ascii="Calibri" w:hAnsi="Calibri" w:eastAsia="宋体"/>
          <w:color w:val="000000"/>
        </w:rPr>
        <w:t>投标截止时间后，投标人在投标有效期内撤销投标的，其撤销投标的行为无效。</w:t>
      </w:r>
    </w:p>
    <w:p w14:paraId="3F933644">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4" w:name="_Toc14920"/>
      <w:r>
        <w:rPr>
          <w:rFonts w:hint="eastAsia" w:ascii="Calibri" w:hAnsi="Calibri" w:eastAsia="宋体"/>
          <w:b/>
          <w:bCs/>
          <w:color w:val="000000"/>
        </w:rPr>
        <w:t>六、中标与政府采购合同</w:t>
      </w:r>
      <w:bookmarkEnd w:id="24"/>
    </w:p>
    <w:p w14:paraId="4DAD2BEB">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12、中标</w:t>
      </w:r>
    </w:p>
    <w:p w14:paraId="63AFE6C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12.1本项目推荐的中标候选人家数：详见招标文件第二章。</w:t>
      </w:r>
    </w:p>
    <w:p w14:paraId="6FB72F3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12.2本项目中标人的确定：详见招标文件第二章。</w:t>
      </w:r>
    </w:p>
    <w:p w14:paraId="70D3D85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12.3中标公告</w:t>
      </w:r>
    </w:p>
    <w:p w14:paraId="6622C97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（1）中标人确定之日起2个工作日内，福建省新卫招标代理有限公司将在招标文件载明的指定媒体以中标公告的形式发布中标结果。</w:t>
      </w:r>
    </w:p>
    <w:p w14:paraId="1744000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（2）中标公告的公告期限为1个工作日。</w:t>
      </w:r>
    </w:p>
    <w:p w14:paraId="3A115A3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12.4中标通知书</w:t>
      </w:r>
    </w:p>
    <w:p w14:paraId="71C85711">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（1）中标公告发布的同时，福建省新卫招标代理有限公司将向中标人发出中标通知书。</w:t>
      </w:r>
    </w:p>
    <w:p w14:paraId="1F3030E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（2）中标通知书发出后，采购人不得违法改变中标结果，中标人无正当理由不得放弃中标。</w:t>
      </w:r>
    </w:p>
    <w:p w14:paraId="063CCA77">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13、政府采购合同</w:t>
      </w:r>
    </w:p>
    <w:p w14:paraId="52DA817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13.1签订政府采购合同应遵守政府采购法及实施条例的规定，不得对招标文件确定的事项和中标人的</w:t>
      </w:r>
      <w:r>
        <w:rPr>
          <w:rFonts w:hint="eastAsia" w:ascii="Calibri" w:hAnsi="Calibri" w:eastAsia="宋体"/>
          <w:color w:val="000000"/>
          <w:lang w:eastAsia="zh-CN"/>
        </w:rPr>
        <w:t>电子投标文件</w:t>
      </w:r>
      <w:r>
        <w:rPr>
          <w:rFonts w:hint="eastAsia" w:ascii="Calibri" w:hAnsi="Calibri" w:eastAsia="宋体"/>
          <w:color w:val="000000"/>
        </w:rPr>
        <w:t>作实质性修改。采购人不得向中标人提出任何不合理的要求作为政府采购合同的签订条件。</w:t>
      </w:r>
    </w:p>
    <w:p w14:paraId="6F474C7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13.2签订时限：详见须知前附表1的13.2。</w:t>
      </w:r>
    </w:p>
    <w:p w14:paraId="59331ECC">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13.3政府采购合同的履行、违约责任和解决争议的方法等适用民法典。</w:t>
      </w:r>
    </w:p>
    <w:p w14:paraId="1CFF225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13.4采购人与中标人应根据政府采购合同的约定依法履行合同义务。</w:t>
      </w:r>
    </w:p>
    <w:p w14:paraId="09FF9AE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13.5政府采购合同履行过程中，采购人若需追加与合同标的相同的货物或服务，则追加采购金额不得超过原合同采购金额的10%。</w:t>
      </w:r>
    </w:p>
    <w:p w14:paraId="52CFE10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13.6中标人在政府采购合同履行过程中应遵守有关法律、法规和规章的强制性规定（即使前述强制性规定有可能在招标文件中未予列明）。</w:t>
      </w:r>
    </w:p>
    <w:p w14:paraId="0606422D">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5" w:name="_Toc7598"/>
      <w:r>
        <w:rPr>
          <w:rFonts w:hint="eastAsia" w:ascii="Calibri" w:hAnsi="Calibri" w:eastAsia="宋体"/>
          <w:b/>
          <w:bCs/>
          <w:color w:val="000000"/>
        </w:rPr>
        <w:t>七、询问、质疑与投诉</w:t>
      </w:r>
      <w:bookmarkEnd w:id="25"/>
    </w:p>
    <w:p w14:paraId="5F6121BD">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14、询问</w:t>
      </w:r>
    </w:p>
    <w:p w14:paraId="223F22DC">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14.1潜在投标人或投标人对本次采购活动的有关事项若有疑问，可向福建省新卫招标代理有限公司提出询问，福建省新卫招标代理有限公司将按照政府采购法及实施条例的有关规定进行答复。</w:t>
      </w:r>
    </w:p>
    <w:p w14:paraId="0008BC96">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15、质疑</w:t>
      </w:r>
    </w:p>
    <w:p w14:paraId="5A78BED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15.1针对同一采购程序环节的质疑应在政府采购法及实施条例的时限内一次性提出，对一个项目的不同采购包提出质疑的，应当将各采购包质疑事项集中在一份质疑函中提出，并同时符合下列条件：</w:t>
      </w:r>
    </w:p>
    <w:p w14:paraId="5BA3791F">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（1）对招标文件提出质疑的，质疑人应为潜在投标人，且两者的身份、名称等均应保持一致。对采购过程、结果提出质疑的，质疑人应为投标人，且两者的身份、名称等均应保持一致。</w:t>
      </w:r>
    </w:p>
    <w:p w14:paraId="684B8B6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（2）质疑人应按照招标文件第二章规定方式提交质疑函。</w:t>
      </w:r>
    </w:p>
    <w:p w14:paraId="4CB0B62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（3）质疑函应包括下列主要内容：</w:t>
      </w:r>
    </w:p>
    <w:p w14:paraId="32E78DF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①质疑人的基本信息，至少包括：全称、地址、邮政编码等；</w:t>
      </w:r>
    </w:p>
    <w:p w14:paraId="1DD6EC4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②所质疑项目的基本信息，至少包括：项目编号、项目名称等；</w:t>
      </w:r>
    </w:p>
    <w:p w14:paraId="214E58F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③所质疑的具体事项（以下简称：“质疑事项”）；</w:t>
      </w:r>
    </w:p>
    <w:p w14:paraId="1AED1AD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④针对质疑事项提出的明确请求，前述明确请求指质疑人提出质疑的目的以及希望福建省新卫招标代理有限公司对其质疑作出的处理结果，如：暂停招标投标活动、修改招标文件、停止或纠正违法违规行为、中标结果无效、废标、重新招标等；</w:t>
      </w:r>
    </w:p>
    <w:p w14:paraId="3DA9AB4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⑤针对质疑事项导致质疑人自身权益受到损害的必要证明材料，至少包括：</w:t>
      </w:r>
    </w:p>
    <w:p w14:paraId="2B974E6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a.质疑人代表的身份证明材料：</w:t>
      </w:r>
    </w:p>
    <w:p w14:paraId="3116F34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E49F1C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a2若本项目接受自然人投标且质疑人为自然人的，提供本人的身份证复印件。</w:t>
      </w:r>
    </w:p>
    <w:p w14:paraId="230FD6D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b.其他证明材料（即事实依据和必要的法律依据）包括但不限于下列材料：</w:t>
      </w:r>
    </w:p>
    <w:p w14:paraId="2D16FAA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b1所质疑的具体事项是与自己有利害关系的证明材料；</w:t>
      </w:r>
    </w:p>
    <w:p w14:paraId="31FAC19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b2质疑函所述事实存在的证明材料，如：采购文件、采购过程或中标结果违法违规或不符合采购文件要求等证明材料；</w:t>
      </w:r>
    </w:p>
    <w:p w14:paraId="6F5797D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b3依法应终止采购程序的证明材料；</w:t>
      </w:r>
    </w:p>
    <w:p w14:paraId="7AB4741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b4应重新采购的证明材料；</w:t>
      </w:r>
    </w:p>
    <w:p w14:paraId="6EA36B2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b5采购文件、采购过程或中标、成交结果损害自己合法权益的证明材料等；</w:t>
      </w:r>
    </w:p>
    <w:p w14:paraId="2FA940FE">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12413C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⑥质疑人代表及其联系方法的信息，至少包括：姓名、手机、电子信箱、邮寄地址等。</w:t>
      </w:r>
    </w:p>
    <w:p w14:paraId="5C6AAA7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⑦提出质疑的日期。</w:t>
      </w:r>
    </w:p>
    <w:p w14:paraId="461B658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※质疑人为法人或其他组织的，质疑函应由单位负责人或委托代理人签字或盖章，并加盖投标人的单位公章。质疑人为自然人的，质疑函应由本人签字。</w:t>
      </w:r>
    </w:p>
    <w:p w14:paraId="6FE50C9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15.2对不符合本章第15.1条规定的质疑，将按照下列规定进行处理：</w:t>
      </w:r>
    </w:p>
    <w:p w14:paraId="76E3BE6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（1）不符合其中第（1）、（2）条规定的，书面告知质疑人不予受理及其理由。</w:t>
      </w:r>
    </w:p>
    <w:p w14:paraId="084EB29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（2）不符合其中第（3）条规定的，书面告知质疑人修改、补充后在规定时限内重新提交质疑函。</w:t>
      </w:r>
    </w:p>
    <w:p w14:paraId="571C8180">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15.3对符合本章第15.1条规定的质疑，将按照政府采购法及实施条例、政府采购质疑和投诉办法的有关规定进行答复。</w:t>
      </w:r>
    </w:p>
    <w:p w14:paraId="7746D2E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15.4招标文件的质疑：详见招标文件第二章。</w:t>
      </w:r>
    </w:p>
    <w:p w14:paraId="44ECCF66">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16、投诉</w:t>
      </w:r>
    </w:p>
    <w:p w14:paraId="18DC7792">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5B86A6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16.2投诉应有明确的请求和必要的证明材料，投诉的事项不得超出已质疑事项的范围。</w:t>
      </w:r>
    </w:p>
    <w:p w14:paraId="1A939EF7">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6" w:name="_Toc18028"/>
      <w:r>
        <w:rPr>
          <w:rFonts w:hint="eastAsia" w:ascii="Calibri" w:hAnsi="Calibri" w:eastAsia="宋体"/>
          <w:b/>
          <w:bCs/>
          <w:color w:val="000000"/>
        </w:rPr>
        <w:t>八、政府采购政策</w:t>
      </w:r>
      <w:bookmarkEnd w:id="26"/>
    </w:p>
    <w:p w14:paraId="40A4891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17、政府采购政策由财政部根据国家的经济和社会发展政策并会同国家有关部委制定，包括但不限于下列具体政策要求：</w:t>
      </w:r>
    </w:p>
    <w:p w14:paraId="7F4DB639">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17.1进口产品指通过中国海关报关验放进入中国境内且产自关境外的产品，其中：</w:t>
      </w:r>
    </w:p>
    <w:p w14:paraId="5649218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C23B49B">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（2）凡在海关特殊监管区域内企业生产或加工（包括从境外进口料件）销往境内其他地区的产品，不作为政府采购项下进口产品。</w:t>
      </w:r>
    </w:p>
    <w:p w14:paraId="3F7327B3">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（3）对从境外进入海关特殊监管区域，再经办理报关手续后从海关特殊监管区进入境内其他地区的产品，认定为进口产品。</w:t>
      </w:r>
    </w:p>
    <w:p w14:paraId="4B676F16">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（4）招标文件列明不允许或未列明允许进口产品参加投标的，均视为拒绝进口产品参加投标。</w:t>
      </w:r>
    </w:p>
    <w:p w14:paraId="015B8718">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BCF722D">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17.</w:t>
      </w:r>
      <w:r>
        <w:rPr>
          <w:rFonts w:hint="eastAsia" w:ascii="Calibri" w:hAnsi="Calibri" w:eastAsia="宋体"/>
          <w:color w:val="000000"/>
          <w:lang w:val="en-US" w:eastAsia="zh-CN"/>
        </w:rPr>
        <w:t>3</w:t>
      </w:r>
      <w:r>
        <w:rPr>
          <w:rFonts w:hint="eastAsia" w:ascii="Calibri" w:hAnsi="Calibri" w:eastAsia="宋体"/>
          <w:color w:val="000000"/>
        </w:rPr>
        <w:t>信用记录指由财政部确定的有关网站提供的相关主体信用信息。信用记录的查询及使用应符合财政部文件（财库[2016]125号）规定。</w:t>
      </w:r>
    </w:p>
    <w:p w14:paraId="6F1A866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17.</w:t>
      </w:r>
      <w:r>
        <w:rPr>
          <w:rFonts w:hint="eastAsia" w:ascii="Calibri" w:hAnsi="Calibri" w:eastAsia="宋体"/>
          <w:color w:val="000000"/>
          <w:lang w:val="en-US" w:eastAsia="zh-CN"/>
        </w:rPr>
        <w:t>4</w:t>
      </w:r>
      <w:r>
        <w:rPr>
          <w:rFonts w:hint="eastAsia" w:ascii="Calibri" w:hAnsi="Calibri" w:eastAsia="宋体"/>
          <w:color w:val="000000"/>
        </w:rPr>
        <w:t>为落实政府采购政策需满足的要求：详见招标文件第一章。</w:t>
      </w:r>
    </w:p>
    <w:p w14:paraId="2A27ED4E">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7" w:name="_Toc9620"/>
      <w:r>
        <w:rPr>
          <w:rFonts w:hint="eastAsia" w:ascii="Calibri" w:hAnsi="Calibri" w:eastAsia="宋体"/>
          <w:b/>
          <w:bCs/>
          <w:color w:val="000000"/>
        </w:rPr>
        <w:t>九、本项目的有关信息</w:t>
      </w:r>
      <w:bookmarkEnd w:id="27"/>
    </w:p>
    <w:p w14:paraId="005789CF">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18、本项目的有关信息，包括但不限于：招标公告、更正公告（若有）、招标文件、招标文件的澄清或修改（若有）、中标公告、终止公告（若有）、废标公告（若有）等都将在招标文件载明的指定媒体发布。</w:t>
      </w:r>
    </w:p>
    <w:p w14:paraId="22E2945A">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18.1指定媒体：详见招标文件第二章。</w:t>
      </w:r>
    </w:p>
    <w:p w14:paraId="7E907815">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18.2本项目的潜在投标人或投标人应随时关注指定媒体，否则产生不利后果由其自行承担。</w:t>
      </w:r>
    </w:p>
    <w:p w14:paraId="77EF5415">
      <w:pPr>
        <w:pStyle w:val="18"/>
        <w:widowControl/>
        <w:snapToGrid w:val="0"/>
        <w:spacing w:beforeAutospacing="0" w:afterAutospacing="0" w:line="500" w:lineRule="atLeast"/>
        <w:ind w:firstLine="482" w:firstLineChars="200"/>
        <w:jc w:val="center"/>
        <w:outlineLvl w:val="1"/>
        <w:rPr>
          <w:rFonts w:ascii="Calibri" w:hAnsi="Calibri" w:eastAsia="宋体"/>
          <w:color w:val="000000"/>
        </w:rPr>
      </w:pPr>
      <w:bookmarkStart w:id="28" w:name="_Toc17761"/>
      <w:r>
        <w:rPr>
          <w:rFonts w:hint="eastAsia" w:ascii="Calibri" w:hAnsi="Calibri" w:eastAsia="宋体"/>
          <w:b/>
          <w:bCs/>
          <w:color w:val="000000"/>
        </w:rPr>
        <w:t>十、其他事项</w:t>
      </w:r>
      <w:bookmarkEnd w:id="28"/>
    </w:p>
    <w:p w14:paraId="291021CA">
      <w:pPr>
        <w:pStyle w:val="18"/>
        <w:widowControl/>
        <w:snapToGrid w:val="0"/>
        <w:spacing w:beforeAutospacing="0" w:afterAutospacing="0" w:line="500" w:lineRule="atLeast"/>
        <w:rPr>
          <w:rFonts w:ascii="Calibri" w:hAnsi="Calibri" w:eastAsia="宋体"/>
          <w:color w:val="000000"/>
        </w:rPr>
      </w:pPr>
      <w:r>
        <w:rPr>
          <w:rFonts w:hint="eastAsia" w:ascii="Calibri" w:hAnsi="Calibri" w:eastAsia="宋体"/>
          <w:color w:val="000000"/>
        </w:rPr>
        <w:t>19、其他事项：</w:t>
      </w:r>
    </w:p>
    <w:p w14:paraId="3686390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6D6C1F7">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19.2其他：详见招标文件第二章。</w:t>
      </w:r>
    </w:p>
    <w:p w14:paraId="01E47414">
      <w:pPr>
        <w:pStyle w:val="18"/>
        <w:widowControl/>
        <w:snapToGrid w:val="0"/>
        <w:spacing w:beforeAutospacing="0" w:afterAutospacing="0" w:line="500" w:lineRule="atLeast"/>
        <w:ind w:firstLine="480" w:firstLineChars="200"/>
        <w:rPr>
          <w:rFonts w:ascii="Calibri" w:hAnsi="Calibri" w:eastAsia="宋体"/>
          <w:color w:val="000000"/>
        </w:rPr>
      </w:pPr>
      <w:r>
        <w:rPr>
          <w:rFonts w:hint="eastAsia" w:ascii="Calibri" w:hAnsi="Calibri" w:eastAsia="宋体"/>
          <w:color w:val="000000"/>
        </w:rPr>
        <w:t> </w:t>
      </w:r>
    </w:p>
    <w:p w14:paraId="0C3D94C6">
      <w:pPr>
        <w:rPr>
          <w:rFonts w:hint="eastAsia" w:ascii="宋体" w:hAnsi="宋体" w:eastAsia="宋体" w:cs="宋体"/>
          <w:b/>
          <w:bCs/>
          <w:color w:val="333333"/>
          <w:sz w:val="39"/>
          <w:szCs w:val="39"/>
          <w:shd w:val="clear" w:color="auto" w:fill="FFFFFF"/>
        </w:rPr>
      </w:pPr>
      <w:r>
        <w:rPr>
          <w:rFonts w:hint="eastAsia" w:ascii="宋体" w:hAnsi="宋体" w:eastAsia="宋体" w:cs="宋体"/>
          <w:b/>
          <w:bCs/>
          <w:color w:val="333333"/>
          <w:sz w:val="39"/>
          <w:szCs w:val="39"/>
          <w:shd w:val="clear" w:color="auto" w:fill="FFFFFF"/>
        </w:rPr>
        <w:br w:type="page"/>
      </w:r>
    </w:p>
    <w:p w14:paraId="49359988">
      <w:pPr>
        <w:widowControl/>
        <w:shd w:val="clear" w:color="auto" w:fill="FFFFFF"/>
        <w:jc w:val="center"/>
        <w:outlineLvl w:val="0"/>
        <w:rPr>
          <w:rFonts w:hint="eastAsia" w:ascii="宋体" w:hAnsi="宋体" w:eastAsia="宋体" w:cs="宋体"/>
          <w:b/>
          <w:bCs/>
          <w:color w:val="333333"/>
          <w:sz w:val="32"/>
          <w:szCs w:val="32"/>
        </w:rPr>
      </w:pPr>
      <w:bookmarkStart w:id="29" w:name="_Toc4573"/>
      <w:r>
        <w:rPr>
          <w:rStyle w:val="26"/>
          <w:rFonts w:hint="eastAsia" w:ascii="宋体" w:hAnsi="宋体" w:eastAsia="宋体" w:cs="宋体"/>
          <w:bCs/>
          <w:color w:val="000000"/>
          <w:kern w:val="0"/>
          <w:sz w:val="32"/>
          <w:szCs w:val="32"/>
          <w:lang w:bidi="ar"/>
        </w:rPr>
        <w:t>第四章 资格审查与评标</w:t>
      </w:r>
      <w:bookmarkEnd w:id="29"/>
    </w:p>
    <w:p w14:paraId="3DF60F68">
      <w:pPr>
        <w:widowControl/>
        <w:shd w:val="clear" w:color="auto" w:fill="FFFFFF"/>
        <w:jc w:val="center"/>
        <w:outlineLvl w:val="1"/>
        <w:rPr>
          <w:rFonts w:ascii="Calibri" w:hAnsi="Calibri" w:eastAsia="宋体" w:cs="Times New Roman"/>
          <w:color w:val="000000"/>
          <w:kern w:val="0"/>
          <w:sz w:val="24"/>
          <w:lang w:bidi="ar"/>
        </w:rPr>
      </w:pPr>
      <w:bookmarkStart w:id="30" w:name="_Toc15799"/>
      <w:r>
        <w:rPr>
          <w:rFonts w:hint="eastAsia" w:ascii="Calibri" w:hAnsi="Calibri" w:eastAsia="宋体" w:cs="Times New Roman"/>
          <w:b/>
          <w:bCs/>
          <w:color w:val="000000"/>
          <w:kern w:val="0"/>
          <w:sz w:val="24"/>
          <w:lang w:bidi="ar"/>
        </w:rPr>
        <w:t>一、资格审查</w:t>
      </w:r>
      <w:bookmarkEnd w:id="30"/>
    </w:p>
    <w:p w14:paraId="2F930670">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1、开标结束后，由福建省新卫招标代理有限公司负责资格审查小组的组建及资格审查工作的组织。</w:t>
      </w:r>
    </w:p>
    <w:p w14:paraId="12C2CCB8">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1.1资格审查小组</w:t>
      </w:r>
    </w:p>
    <w:p w14:paraId="3042B04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05E89B63">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1.2资格审查的依据是招标文件和</w:t>
      </w:r>
      <w:r>
        <w:rPr>
          <w:rFonts w:hint="eastAsia" w:ascii="Calibri" w:hAnsi="Calibri" w:eastAsia="宋体"/>
          <w:color w:val="000000"/>
          <w:lang w:eastAsia="zh-CN" w:bidi="ar"/>
        </w:rPr>
        <w:t>电子投标文件</w:t>
      </w:r>
      <w:r>
        <w:rPr>
          <w:rFonts w:hint="eastAsia" w:ascii="Calibri" w:hAnsi="Calibri" w:eastAsia="宋体"/>
          <w:color w:val="000000"/>
          <w:lang w:bidi="ar"/>
        </w:rPr>
        <w:t>。</w:t>
      </w:r>
    </w:p>
    <w:p w14:paraId="00E35A37">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1.3资格审查的范围及内容：</w:t>
      </w:r>
      <w:r>
        <w:rPr>
          <w:rFonts w:hint="eastAsia" w:ascii="Calibri" w:hAnsi="Calibri" w:eastAsia="宋体"/>
          <w:color w:val="000000"/>
          <w:lang w:eastAsia="zh-CN" w:bidi="ar"/>
        </w:rPr>
        <w:t>电子投标文件</w:t>
      </w:r>
      <w:r>
        <w:rPr>
          <w:rFonts w:hint="eastAsia" w:ascii="Calibri" w:hAnsi="Calibri" w:eastAsia="宋体"/>
          <w:color w:val="000000"/>
          <w:lang w:bidi="ar"/>
        </w:rPr>
        <w:t>（资格及资信证明部分），具体如下：</w:t>
      </w:r>
    </w:p>
    <w:p w14:paraId="1B3D2BC0">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（1）“投标函”；</w:t>
      </w:r>
    </w:p>
    <w:p w14:paraId="7340B4A2">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（2）“投标人的资格及资信证明文件”</w:t>
      </w:r>
    </w:p>
    <w:p w14:paraId="0465F01B">
      <w:pPr>
        <w:pStyle w:val="18"/>
        <w:widowControl/>
        <w:shd w:val="clear" w:color="auto" w:fill="FFFFFF"/>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①一般资格证明文件：</w:t>
      </w:r>
    </w:p>
    <w:p w14:paraId="5446C2E4">
      <w:pPr>
        <w:pStyle w:val="18"/>
        <w:widowControl/>
        <w:spacing w:beforeAutospacing="0" w:afterAutospacing="0" w:line="480" w:lineRule="atLeast"/>
        <w:ind w:firstLine="420"/>
        <w:jc w:val="both"/>
        <w:rPr>
          <w:rFonts w:ascii="Calibri" w:hAnsi="Calibri" w:eastAsia="宋体"/>
          <w:color w:val="000000"/>
          <w:lang w:bidi="ar"/>
        </w:rPr>
      </w:pPr>
      <w:r>
        <w:rPr>
          <w:rFonts w:hint="eastAsia" w:ascii="宋体" w:hAnsi="宋体" w:eastAsia="宋体" w:cs="宋体"/>
          <w:color w:val="000000"/>
          <w:kern w:val="2"/>
        </w:rPr>
        <w:t>采购包1</w:t>
      </w:r>
      <w:r>
        <w:rPr>
          <w:rFonts w:hint="eastAsia" w:ascii="Calibri" w:hAnsi="Calibri" w:eastAsia="宋体"/>
          <w:color w:val="000000"/>
          <w:lang w:bidi="ar"/>
        </w:rPr>
        <w:t>：</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7"/>
        <w:gridCol w:w="2514"/>
        <w:gridCol w:w="6437"/>
      </w:tblGrid>
      <w:tr w14:paraId="674D3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6C668D">
            <w:pPr>
              <w:widowControl/>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序号</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C558DA">
            <w:pPr>
              <w:widowControl/>
              <w:wordWrap w:val="0"/>
              <w:spacing w:line="480" w:lineRule="atLeast"/>
              <w:jc w:val="center"/>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资格审查要求概况</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4426D3">
            <w:pPr>
              <w:widowControl/>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评审点具体描述</w:t>
            </w:r>
          </w:p>
        </w:tc>
      </w:tr>
      <w:tr w14:paraId="79BAD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1B7633">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AD41A">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单位授权书</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19FB8073">
            <w:pPr>
              <w:widowControl/>
              <w:wordWrap w:val="0"/>
              <w:spacing w:line="480" w:lineRule="atLeast"/>
              <w:jc w:val="left"/>
              <w:rPr>
                <w:rFonts w:hint="eastAsia"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E79B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C4ECF9">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329107">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营业执照等证明文件</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4F4A5C59">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F70B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011651">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9F7AD4">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提供财务状况报告(财务报告、或资信证明）</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3E8A8198">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806A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675947">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946E5F">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依法缴纳税收证明材料</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37897433">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15C1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6B704D">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4164EA">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依法缴纳社会保障资金证明材料</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78BCEE18">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907C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C6AE6D">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0A9ECC">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具备履行合同所必需设备和专业技术能力的声明函(若有)</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1A431F4C">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647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FA71CC">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C17F9A">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参加采购活动前三年内在经营活动中没有重大违法记录的声明</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2EFE47E5">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82B9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EC5F64">
            <w:pPr>
              <w:widowControl/>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73E76B">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信用记录查询结果</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5E1CEE11">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8448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BEEBD6">
            <w:pPr>
              <w:widowControl/>
              <w:wordWrap w:val="0"/>
              <w:spacing w:line="480" w:lineRule="atLeast"/>
              <w:jc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9</w:t>
            </w:r>
          </w:p>
        </w:tc>
        <w:tc>
          <w:tcPr>
            <w:tcW w:w="25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1379E3">
            <w:pPr>
              <w:wordWrap w:val="0"/>
              <w:spacing w:line="480" w:lineRule="atLeast"/>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联合体协议（若有）</w:t>
            </w:r>
          </w:p>
        </w:tc>
        <w:tc>
          <w:tcPr>
            <w:tcW w:w="64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79744F8B">
            <w:pPr>
              <w:wordWrap w:val="0"/>
              <w:spacing w:line="480" w:lineRule="atLeast"/>
              <w:jc w:val="left"/>
              <w:rPr>
                <w:rFonts w:ascii="Calibri" w:hAnsi="Calibri" w:eastAsia="宋体" w:cs="Times New Roman"/>
                <w:color w:val="000000"/>
                <w:kern w:val="0"/>
                <w:sz w:val="24"/>
                <w:lang w:bidi="ar"/>
              </w:rPr>
            </w:pPr>
            <w:r>
              <w:rPr>
                <w:rFonts w:hint="eastAsia" w:ascii="Calibri" w:hAnsi="Calibri" w:eastAsia="宋体" w:cs="Times New Roman"/>
                <w:color w:val="000000"/>
                <w:kern w:val="0"/>
                <w:sz w:val="24"/>
                <w:lang w:bidi="ar"/>
              </w:rPr>
              <w:t>①招标文件接受联合体投标且投标人为联合体的，投标人应提供本协议；否则无须提供。 ②本协议由委托代理人签字或盖章的，应按照招标文件第七章载明的格式提供“单位授权书”。</w:t>
            </w:r>
          </w:p>
        </w:tc>
      </w:tr>
    </w:tbl>
    <w:p w14:paraId="3E81D83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※备注说明</w:t>
      </w:r>
    </w:p>
    <w:p w14:paraId="51E3C09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①投标人应根据自身实际情况提供上述资格要求的证明材料，格式可参考招标文件第七章提供。</w:t>
      </w:r>
    </w:p>
    <w:p w14:paraId="0359211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②投标人提供的相应证明材料复印件均应符合：内容完整、清晰、整洁，并由投标人加盖其单位公章。</w:t>
      </w:r>
    </w:p>
    <w:p w14:paraId="0145D428">
      <w:pPr>
        <w:pStyle w:val="18"/>
        <w:widowControl/>
        <w:spacing w:beforeAutospacing="0" w:afterAutospacing="0" w:line="480" w:lineRule="atLeast"/>
        <w:ind w:firstLine="420"/>
        <w:jc w:val="both"/>
        <w:rPr>
          <w:rFonts w:hint="eastAsia" w:ascii="Calibri" w:hAnsi="Calibri" w:eastAsia="宋体"/>
          <w:color w:val="000000"/>
          <w:lang w:bidi="ar"/>
        </w:rPr>
      </w:pPr>
      <w:r>
        <w:rPr>
          <w:rFonts w:hint="eastAsia" w:ascii="Calibri" w:hAnsi="Calibri" w:eastAsia="宋体" w:cs="Times New Roman"/>
          <w:color w:val="000000"/>
          <w:lang w:bidi="ar"/>
        </w:rPr>
        <w:t>③根据招标文件第四章第一点资格审查的1.3“④其他资格证明文件”要求，允许供应商采用资格承诺制的并提供符合要求的资格承诺函，视为满足招标文件的资格要求。</w:t>
      </w:r>
    </w:p>
    <w:p w14:paraId="32751EA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s="Times New Roman"/>
          <w:color w:val="000000"/>
          <w:lang w:bidi="ar"/>
        </w:rPr>
        <w:t>④</w:t>
      </w:r>
      <w:r>
        <w:rPr>
          <w:rFonts w:hint="eastAsia" w:ascii="Calibri" w:hAnsi="Calibri" w:eastAsia="宋体"/>
          <w:color w:val="000000"/>
          <w:lang w:bidi="ar"/>
        </w:rPr>
        <w:t>其他资格证明文件：</w:t>
      </w:r>
    </w:p>
    <w:p w14:paraId="0022C4DA">
      <w:pPr>
        <w:pStyle w:val="18"/>
        <w:widowControl/>
        <w:spacing w:beforeAutospacing="0" w:afterAutospacing="0" w:line="480" w:lineRule="atLeast"/>
        <w:ind w:firstLine="420"/>
        <w:jc w:val="both"/>
        <w:rPr>
          <w:rFonts w:ascii="Calibri" w:hAnsi="Calibri" w:eastAsia="宋体"/>
          <w:color w:val="000000"/>
          <w:lang w:bidi="ar"/>
        </w:rPr>
      </w:pPr>
      <w:r>
        <w:rPr>
          <w:rFonts w:hint="eastAsia" w:ascii="宋体" w:hAnsi="宋体" w:eastAsia="宋体" w:cs="宋体"/>
          <w:color w:val="000000"/>
          <w:kern w:val="2"/>
        </w:rPr>
        <w:t>采购包1</w:t>
      </w:r>
      <w:r>
        <w:rPr>
          <w:rFonts w:hint="eastAsia" w:ascii="Calibri" w:hAnsi="Calibri" w:eastAsia="宋体"/>
          <w:color w:val="000000"/>
          <w:lang w:bidi="ar"/>
        </w:rPr>
        <w:t>：</w:t>
      </w:r>
    </w:p>
    <w:tbl>
      <w:tblPr>
        <w:tblStyle w:val="23"/>
        <w:tblW w:w="957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38"/>
        <w:gridCol w:w="6541"/>
      </w:tblGrid>
      <w:tr w14:paraId="1AA2D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038" w:type="dxa"/>
          </w:tcPr>
          <w:p w14:paraId="68AC2FE9">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资格审查要求概况</w:t>
            </w:r>
          </w:p>
        </w:tc>
        <w:tc>
          <w:tcPr>
            <w:tcW w:w="6541" w:type="dxa"/>
          </w:tcPr>
          <w:p w14:paraId="08FF4BB9">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评审点具体描述</w:t>
            </w:r>
          </w:p>
        </w:tc>
      </w:tr>
      <w:tr w14:paraId="6120B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038" w:type="dxa"/>
            <w:vAlign w:val="center"/>
          </w:tcPr>
          <w:p w14:paraId="6CE72A3C">
            <w:pPr>
              <w:widowControl/>
              <w:wordWrap w:val="0"/>
              <w:spacing w:line="480" w:lineRule="atLeast"/>
              <w:jc w:val="center"/>
              <w:rPr>
                <w:rFonts w:hint="eastAsia" w:ascii="宋体" w:hAnsi="宋体" w:eastAsia="宋体" w:cs="宋体"/>
                <w:sz w:val="24"/>
              </w:rPr>
            </w:pPr>
            <w:r>
              <w:rPr>
                <w:rFonts w:ascii="宋体" w:hAnsi="宋体" w:eastAsia="宋体" w:cs="宋体"/>
                <w:sz w:val="24"/>
              </w:rPr>
              <w:t>资格承诺函</w:t>
            </w:r>
          </w:p>
        </w:tc>
        <w:tc>
          <w:tcPr>
            <w:tcW w:w="6541" w:type="dxa"/>
            <w:vAlign w:val="center"/>
          </w:tcPr>
          <w:p w14:paraId="261E6A56">
            <w:pPr>
              <w:widowControl/>
              <w:wordWrap w:val="0"/>
              <w:spacing w:line="480" w:lineRule="atLeast"/>
              <w:jc w:val="left"/>
              <w:rPr>
                <w:rFonts w:hint="eastAsia" w:ascii="宋体" w:hAnsi="宋体" w:eastAsia="宋体" w:cs="宋体"/>
                <w:sz w:val="24"/>
              </w:rPr>
            </w:pPr>
            <w:r>
              <w:rPr>
                <w:rFonts w:ascii="宋体" w:hAnsi="宋体" w:eastAsia="宋体" w:cs="宋体"/>
                <w:color w:val="auto"/>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64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038" w:type="dxa"/>
            <w:vAlign w:val="center"/>
          </w:tcPr>
          <w:p w14:paraId="44BC7306">
            <w:pPr>
              <w:widowControl/>
              <w:wordWrap w:val="0"/>
              <w:spacing w:line="480" w:lineRule="atLeast"/>
              <w:jc w:val="center"/>
              <w:rPr>
                <w:rFonts w:ascii="宋体" w:hAnsi="宋体" w:eastAsia="宋体" w:cs="宋体"/>
                <w:sz w:val="24"/>
              </w:rPr>
            </w:pPr>
            <w:r>
              <w:rPr>
                <w:rFonts w:hint="default" w:ascii="宋体" w:hAnsi="宋体" w:eastAsia="宋体" w:cs="宋体"/>
                <w:color w:val="FF0000"/>
                <w:sz w:val="24"/>
              </w:rPr>
              <w:t>未列入不良行为记录名单</w:t>
            </w:r>
          </w:p>
        </w:tc>
        <w:tc>
          <w:tcPr>
            <w:tcW w:w="6541" w:type="dxa"/>
            <w:vAlign w:val="center"/>
          </w:tcPr>
          <w:p w14:paraId="14F03D60">
            <w:pPr>
              <w:widowControl/>
              <w:wordWrap w:val="0"/>
              <w:spacing w:line="480" w:lineRule="atLeast"/>
              <w:jc w:val="left"/>
              <w:rPr>
                <w:rFonts w:hint="eastAsia" w:ascii="宋体" w:hAnsi="宋体" w:eastAsia="宋体" w:cs="宋体"/>
                <w:sz w:val="24"/>
              </w:rPr>
            </w:pPr>
            <w:r>
              <w:rPr>
                <w:rFonts w:hint="default" w:ascii="宋体" w:hAnsi="宋体" w:eastAsia="宋体" w:cs="宋体"/>
                <w:color w:val="FF0000"/>
                <w:sz w:val="24"/>
              </w:rPr>
              <w:t>供应商没有被列入福建省监狱管理局不良行为记录名单</w:t>
            </w:r>
            <w:r>
              <w:rPr>
                <w:rFonts w:hint="eastAsia" w:ascii="宋体" w:hAnsi="宋体" w:eastAsia="宋体" w:cs="宋体"/>
                <w:color w:val="FF0000"/>
                <w:sz w:val="24"/>
                <w:lang w:eastAsia="zh-CN"/>
              </w:rPr>
              <w:t>。</w:t>
            </w:r>
            <w:r>
              <w:rPr>
                <w:rFonts w:hint="eastAsia" w:ascii="宋体" w:hAnsi="宋体" w:eastAsia="宋体" w:cs="宋体"/>
                <w:color w:val="FF0000"/>
                <w:sz w:val="24"/>
                <w:lang w:val="en-US" w:eastAsia="zh-CN"/>
              </w:rPr>
              <w:t>提供承诺函。</w:t>
            </w:r>
          </w:p>
        </w:tc>
      </w:tr>
    </w:tbl>
    <w:p w14:paraId="10C4C1FE">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（3）投标保证金。</w:t>
      </w:r>
    </w:p>
    <w:p w14:paraId="4D101F0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1.4有下列情形之一的，资格审查不合格：</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78"/>
      </w:tblGrid>
      <w:tr w14:paraId="40BBA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23F3A7">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明细</w:t>
            </w:r>
          </w:p>
        </w:tc>
      </w:tr>
      <w:tr w14:paraId="3B627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122BA8">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未按照招标文件规定提交投标函</w:t>
            </w:r>
          </w:p>
        </w:tc>
      </w:tr>
      <w:tr w14:paraId="79D0B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46F274">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未按照招标文件规定提交投标人的资格及资信文件</w:t>
            </w:r>
          </w:p>
        </w:tc>
      </w:tr>
      <w:tr w14:paraId="11DE8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45E06F">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未按照招标文件规定提交投标保证金</w:t>
            </w:r>
          </w:p>
        </w:tc>
      </w:tr>
    </w:tbl>
    <w:p w14:paraId="2C3D3F6A">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采购包1：</w:t>
      </w:r>
    </w:p>
    <w:p w14:paraId="123206A9">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资格审查不合格项：</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59"/>
        <w:gridCol w:w="8319"/>
      </w:tblGrid>
      <w:tr w14:paraId="46E32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8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7F9AFB7">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情形</w:t>
            </w:r>
          </w:p>
        </w:tc>
        <w:tc>
          <w:tcPr>
            <w:tcW w:w="421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19797F9">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明细</w:t>
            </w:r>
          </w:p>
        </w:tc>
      </w:tr>
      <w:tr w14:paraId="3068EF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8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4E3DEAD">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其他情形</w:t>
            </w:r>
          </w:p>
        </w:tc>
        <w:tc>
          <w:tcPr>
            <w:tcW w:w="421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589D582">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资格及资信证明部分中出现报价部分的全部或部分的投标报价信息（或组成资料）的；</w:t>
            </w:r>
          </w:p>
        </w:tc>
      </w:tr>
      <w:tr w14:paraId="14905D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8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8CA380A">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其他情形</w:t>
            </w:r>
          </w:p>
        </w:tc>
        <w:tc>
          <w:tcPr>
            <w:tcW w:w="421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5293298">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出现招标文件中载明“资格审查不合格”条款的规定；</w:t>
            </w:r>
          </w:p>
        </w:tc>
      </w:tr>
    </w:tbl>
    <w:p w14:paraId="0838BD9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327E12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2、资格审查情况不得私自外泄，有关信息由福建省新卫招标代理有限公司统一对外发布。</w:t>
      </w:r>
    </w:p>
    <w:p w14:paraId="516972DE">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3、资格审查合格的投标人不足三家的，不进行评标。同时，本次采购活动结束，福建省新卫招标代理有限公司将依法组织后续采购活动（包括但不限于：重新招标、采用其他方式采购等）。</w:t>
      </w:r>
    </w:p>
    <w:p w14:paraId="46FCCFE4">
      <w:pPr>
        <w:pStyle w:val="18"/>
        <w:widowControl/>
        <w:spacing w:beforeAutospacing="0" w:afterAutospacing="0" w:line="480" w:lineRule="atLeast"/>
        <w:ind w:firstLine="420"/>
        <w:jc w:val="center"/>
        <w:outlineLvl w:val="1"/>
        <w:rPr>
          <w:rFonts w:ascii="Calibri" w:hAnsi="Calibri" w:eastAsia="宋体"/>
          <w:color w:val="000000"/>
          <w:lang w:bidi="ar"/>
        </w:rPr>
      </w:pPr>
      <w:bookmarkStart w:id="31" w:name="_Toc1900"/>
      <w:r>
        <w:rPr>
          <w:rFonts w:hint="eastAsia" w:ascii="Calibri" w:hAnsi="Calibri" w:eastAsia="宋体"/>
          <w:b/>
          <w:bCs/>
          <w:color w:val="000000"/>
          <w:lang w:bidi="ar"/>
        </w:rPr>
        <w:t>二、评标</w:t>
      </w:r>
      <w:bookmarkEnd w:id="31"/>
    </w:p>
    <w:p w14:paraId="56DAA1EE">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4、资格审查结束后，由福建省新卫招标代理有限公司负责评标委员会的组建及评标工作的组织。</w:t>
      </w:r>
    </w:p>
    <w:p w14:paraId="1ED02F4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5、评标委员会</w:t>
      </w:r>
    </w:p>
    <w:p w14:paraId="144F7B3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由采购人代表和评审专家两部分共5人组成， 其中由福建省政府采购评审专家库产生的评审专家4人，由采购人派出的采购人代表1人。</w:t>
      </w:r>
    </w:p>
    <w:p w14:paraId="0235ACA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5.2评标委员会负责具体评标事务，并按照下列原则依法独立履行有关职责：</w:t>
      </w:r>
    </w:p>
    <w:p w14:paraId="6FCDBA2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（1）评标应保护国家利益、社会公共利益和各方当事人合法权益，提高采购效益，保证项目质量。</w:t>
      </w:r>
    </w:p>
    <w:p w14:paraId="4A320224">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（2）评标应遵循公平、公正、科学、严谨和择优原则。</w:t>
      </w:r>
    </w:p>
    <w:p w14:paraId="6D88ECB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（3）评标的依据是招标文件和</w:t>
      </w:r>
      <w:r>
        <w:rPr>
          <w:rFonts w:hint="eastAsia" w:ascii="Calibri" w:hAnsi="Calibri" w:eastAsia="宋体"/>
          <w:color w:val="000000"/>
          <w:lang w:eastAsia="zh-CN" w:bidi="ar"/>
        </w:rPr>
        <w:t>电子投标文件</w:t>
      </w:r>
      <w:r>
        <w:rPr>
          <w:rFonts w:hint="eastAsia" w:ascii="Calibri" w:hAnsi="Calibri" w:eastAsia="宋体"/>
          <w:color w:val="000000"/>
          <w:lang w:bidi="ar"/>
        </w:rPr>
        <w:t>。</w:t>
      </w:r>
    </w:p>
    <w:p w14:paraId="315E496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（4）应按照招标文件规定推荐中标候选人或确定中标人。</w:t>
      </w:r>
    </w:p>
    <w:p w14:paraId="6B5160DE">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（5）评标应遵守下列评标纪律：</w:t>
      </w:r>
    </w:p>
    <w:p w14:paraId="5C114EF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①评标情况不得私自外泄，有关信息由福建省新卫招标代理有限公司统一对外发布。</w:t>
      </w:r>
    </w:p>
    <w:p w14:paraId="4F01BEA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②对福建省新卫招标代理有限公司或投标人提供的要求保密的资料，不得摘记翻印和外传。</w:t>
      </w:r>
    </w:p>
    <w:p w14:paraId="525DB50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③不得收受投标人或有关人员的任何礼物，不得串联鼓动其他人袒护某投标人。若与投标人存在利害关系，则应主动声明并回避。</w:t>
      </w:r>
    </w:p>
    <w:p w14:paraId="3E68FAFA">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④全体评委应按照招标文件规定进行评标，一切认定事项应查有实据且不得弄虚作假。</w:t>
      </w:r>
    </w:p>
    <w:p w14:paraId="75EE2EC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⑤评标中应充分发扬民主，推荐中标候选人或确定中标人后要服从评标报告。</w:t>
      </w:r>
    </w:p>
    <w:p w14:paraId="33F5A56A">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※对违反评标纪律的评委，将取消其评委资格，对评标工作造成严重损失者将予以通报批评乃至追究法律责任。</w:t>
      </w:r>
    </w:p>
    <w:p w14:paraId="2A001C31">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6、评标程序</w:t>
      </w:r>
    </w:p>
    <w:p w14:paraId="6C8B9B49">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6.1评标前的准备工作</w:t>
      </w:r>
    </w:p>
    <w:p w14:paraId="3092A89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（1）全体评委应认真审阅招标文件，了解评委应履行或遵守的职责、义务和评标纪律。</w:t>
      </w:r>
    </w:p>
    <w:p w14:paraId="2CE39037">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（2）参加评标委员会的采购人代表可对本项目的背景和采购需求进行介绍，介绍材料应以书面形式提交（随采购文件一并存档），介绍内容不得含有歧视性、倾向性意见，不得超出招标文件所述范围。</w:t>
      </w:r>
    </w:p>
    <w:p w14:paraId="6941BDA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6.2符合性审查</w:t>
      </w:r>
    </w:p>
    <w:p w14:paraId="7ADA130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（1）评标委员会依据招标文件的实质性要求，对通过资格审查的</w:t>
      </w:r>
      <w:r>
        <w:rPr>
          <w:rFonts w:hint="eastAsia" w:ascii="Calibri" w:hAnsi="Calibri" w:eastAsia="宋体"/>
          <w:color w:val="000000"/>
          <w:lang w:eastAsia="zh-CN" w:bidi="ar"/>
        </w:rPr>
        <w:t>电子投标文件</w:t>
      </w:r>
      <w:r>
        <w:rPr>
          <w:rFonts w:hint="eastAsia" w:ascii="Calibri" w:hAnsi="Calibri" w:eastAsia="宋体"/>
          <w:color w:val="000000"/>
          <w:lang w:bidi="ar"/>
        </w:rPr>
        <w:t>进行符合性审查，以确定其是否满足招标文件的实质性要求。</w:t>
      </w:r>
    </w:p>
    <w:p w14:paraId="12725B5E">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（2）满足招标文件的实质性要求指</w:t>
      </w:r>
      <w:r>
        <w:rPr>
          <w:rFonts w:hint="eastAsia" w:ascii="Calibri" w:hAnsi="Calibri" w:eastAsia="宋体"/>
          <w:color w:val="000000"/>
          <w:lang w:eastAsia="zh-CN" w:bidi="ar"/>
        </w:rPr>
        <w:t>电子投标文件</w:t>
      </w:r>
      <w:r>
        <w:rPr>
          <w:rFonts w:hint="eastAsia" w:ascii="Calibri" w:hAnsi="Calibri" w:eastAsia="宋体"/>
          <w:color w:val="000000"/>
          <w:lang w:bidi="ar"/>
        </w:rPr>
        <w:t>对招标文件实质性要求的响应不存在重大偏差或保留。</w:t>
      </w:r>
    </w:p>
    <w:p w14:paraId="08A2571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C7732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（4）评标委员会审查判断</w:t>
      </w:r>
      <w:r>
        <w:rPr>
          <w:rFonts w:hint="eastAsia" w:ascii="Calibri" w:hAnsi="Calibri" w:eastAsia="宋体"/>
          <w:color w:val="000000"/>
          <w:lang w:eastAsia="zh-CN" w:bidi="ar"/>
        </w:rPr>
        <w:t>电子投标文件</w:t>
      </w:r>
      <w:r>
        <w:rPr>
          <w:rFonts w:hint="eastAsia" w:ascii="Calibri" w:hAnsi="Calibri" w:eastAsia="宋体"/>
          <w:color w:val="000000"/>
          <w:lang w:bidi="ar"/>
        </w:rPr>
        <w:t>是否满足招标文件的实质性要求仅基于</w:t>
      </w:r>
      <w:r>
        <w:rPr>
          <w:rFonts w:hint="eastAsia" w:ascii="Calibri" w:hAnsi="Calibri" w:eastAsia="宋体"/>
          <w:color w:val="000000"/>
          <w:lang w:eastAsia="zh-CN" w:bidi="ar"/>
        </w:rPr>
        <w:t>电子投标文件</w:t>
      </w:r>
      <w:r>
        <w:rPr>
          <w:rFonts w:hint="eastAsia" w:ascii="Calibri" w:hAnsi="Calibri" w:eastAsia="宋体"/>
          <w:color w:val="000000"/>
          <w:lang w:bidi="ar"/>
        </w:rPr>
        <w:t>本身而不寻求其他的外部证据。未满足招标文件实质性要求的</w:t>
      </w:r>
      <w:r>
        <w:rPr>
          <w:rFonts w:hint="eastAsia" w:ascii="Calibri" w:hAnsi="Calibri" w:eastAsia="宋体"/>
          <w:color w:val="000000"/>
          <w:lang w:eastAsia="zh-CN" w:bidi="ar"/>
        </w:rPr>
        <w:t>电子投标文件</w:t>
      </w:r>
      <w:r>
        <w:rPr>
          <w:rFonts w:hint="eastAsia" w:ascii="Calibri" w:hAnsi="Calibri" w:eastAsia="宋体"/>
          <w:color w:val="000000"/>
          <w:lang w:bidi="ar"/>
        </w:rPr>
        <w:t>将被评标委员会否决（即符合性审查不合格），被否决的</w:t>
      </w:r>
      <w:r>
        <w:rPr>
          <w:rFonts w:hint="eastAsia" w:ascii="Calibri" w:hAnsi="Calibri" w:eastAsia="宋体"/>
          <w:color w:val="000000"/>
          <w:lang w:eastAsia="zh-CN" w:bidi="ar"/>
        </w:rPr>
        <w:t>电子投标文件</w:t>
      </w:r>
      <w:r>
        <w:rPr>
          <w:rFonts w:hint="eastAsia" w:ascii="Calibri" w:hAnsi="Calibri" w:eastAsia="宋体"/>
          <w:color w:val="000000"/>
          <w:lang w:bidi="ar"/>
        </w:rPr>
        <w:t>不能通过补充、修改（澄清、说明或补正）等方式重新成为满足招标文件实质性要求的</w:t>
      </w:r>
      <w:r>
        <w:rPr>
          <w:rFonts w:hint="eastAsia" w:ascii="Calibri" w:hAnsi="Calibri" w:eastAsia="宋体"/>
          <w:color w:val="000000"/>
          <w:lang w:eastAsia="zh-CN" w:bidi="ar"/>
        </w:rPr>
        <w:t>电子投标文件</w:t>
      </w:r>
      <w:r>
        <w:rPr>
          <w:rFonts w:hint="eastAsia" w:ascii="Calibri" w:hAnsi="Calibri" w:eastAsia="宋体"/>
          <w:color w:val="000000"/>
          <w:lang w:bidi="ar"/>
        </w:rPr>
        <w:t>。</w:t>
      </w:r>
    </w:p>
    <w:p w14:paraId="0D209863">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（5）评标委员会对所有投标人都执行相同的程序和标准。</w:t>
      </w:r>
    </w:p>
    <w:p w14:paraId="027CD19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（6）有下列情形之一的，符合性审查不合格：</w:t>
      </w:r>
    </w:p>
    <w:p w14:paraId="763A97B2">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①项目一般情形：</w:t>
      </w:r>
    </w:p>
    <w:p w14:paraId="2421C589">
      <w:pPr>
        <w:pStyle w:val="18"/>
        <w:widowControl/>
        <w:spacing w:beforeAutospacing="0" w:afterAutospacing="0" w:line="480" w:lineRule="atLeast"/>
        <w:ind w:firstLine="420"/>
        <w:jc w:val="both"/>
        <w:rPr>
          <w:rFonts w:ascii="Calibri" w:hAnsi="Calibri" w:eastAsia="宋体"/>
          <w:color w:val="000000"/>
          <w:lang w:bidi="ar"/>
        </w:rPr>
      </w:pPr>
      <w:r>
        <w:rPr>
          <w:rFonts w:hint="eastAsia" w:ascii="宋体" w:hAnsi="宋体" w:eastAsia="宋体" w:cs="宋体"/>
          <w:color w:val="000000"/>
          <w:kern w:val="2"/>
        </w:rPr>
        <w:t>采购包1</w:t>
      </w:r>
      <w:r>
        <w:rPr>
          <w:rFonts w:hint="eastAsia" w:ascii="Calibri" w:hAnsi="Calibri" w:eastAsia="宋体"/>
          <w:color w:val="000000"/>
          <w:lang w:bidi="ar"/>
        </w:rPr>
        <w:t>：</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5"/>
        <w:gridCol w:w="2566"/>
        <w:gridCol w:w="6347"/>
      </w:tblGrid>
      <w:tr w14:paraId="6BEE8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1FB8AD">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序号</w:t>
            </w:r>
          </w:p>
        </w:tc>
        <w:tc>
          <w:tcPr>
            <w:tcW w:w="22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B89C9C">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符合审查要求概况</w:t>
            </w:r>
          </w:p>
        </w:tc>
        <w:tc>
          <w:tcPr>
            <w:tcW w:w="54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0003C2">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评审点具体描述</w:t>
            </w:r>
          </w:p>
        </w:tc>
      </w:tr>
      <w:tr w14:paraId="2D97F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BF78D1">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1</w:t>
            </w:r>
          </w:p>
        </w:tc>
        <w:tc>
          <w:tcPr>
            <w:tcW w:w="22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721F91">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情形1</w:t>
            </w:r>
          </w:p>
        </w:tc>
        <w:tc>
          <w:tcPr>
            <w:tcW w:w="54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1C1F3C">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违反招标文件中载明“投标无效”条款的规定；</w:t>
            </w:r>
          </w:p>
        </w:tc>
      </w:tr>
      <w:tr w14:paraId="4F0E0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24BDF6">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2</w:t>
            </w:r>
          </w:p>
        </w:tc>
        <w:tc>
          <w:tcPr>
            <w:tcW w:w="22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0C1AA2">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情形2</w:t>
            </w:r>
          </w:p>
        </w:tc>
        <w:tc>
          <w:tcPr>
            <w:tcW w:w="54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C35F49">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属于招标文件第三章第10.12条规定的投标无效情形；</w:t>
            </w:r>
          </w:p>
        </w:tc>
      </w:tr>
      <w:tr w14:paraId="79E66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4756DD">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3</w:t>
            </w:r>
          </w:p>
        </w:tc>
        <w:tc>
          <w:tcPr>
            <w:tcW w:w="22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28AD83">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情形3</w:t>
            </w:r>
          </w:p>
        </w:tc>
        <w:tc>
          <w:tcPr>
            <w:tcW w:w="54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075446">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投标文件对招标文件实质性要求的响应存在重大偏离或保留。</w:t>
            </w:r>
          </w:p>
        </w:tc>
      </w:tr>
    </w:tbl>
    <w:p w14:paraId="6896AA7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②本项目规定的其他情形：</w:t>
      </w:r>
    </w:p>
    <w:p w14:paraId="7E6E8D08">
      <w:pPr>
        <w:pStyle w:val="18"/>
        <w:widowControl/>
        <w:spacing w:beforeAutospacing="0" w:afterAutospacing="0" w:line="480" w:lineRule="atLeast"/>
        <w:ind w:firstLine="420"/>
        <w:jc w:val="both"/>
        <w:rPr>
          <w:rFonts w:ascii="Calibri" w:hAnsi="Calibri" w:eastAsia="宋体"/>
          <w:color w:val="000000"/>
          <w:lang w:bidi="ar"/>
        </w:rPr>
      </w:pPr>
      <w:r>
        <w:rPr>
          <w:rFonts w:hint="eastAsia" w:ascii="宋体" w:hAnsi="宋体" w:eastAsia="宋体" w:cs="宋体"/>
          <w:color w:val="000000"/>
          <w:kern w:val="2"/>
        </w:rPr>
        <w:t>采购包1</w:t>
      </w:r>
      <w:r>
        <w:rPr>
          <w:rFonts w:hint="eastAsia" w:ascii="Calibri" w:hAnsi="Calibri" w:eastAsia="宋体"/>
          <w:color w:val="000000"/>
          <w:lang w:bidi="ar"/>
        </w:rPr>
        <w:t>：</w:t>
      </w:r>
    </w:p>
    <w:p w14:paraId="5B48EB43">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技术符合性</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76"/>
        <w:gridCol w:w="7902"/>
      </w:tblGrid>
      <w:tr w14:paraId="006C7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1DBEDA">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87598B">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明细</w:t>
            </w:r>
          </w:p>
        </w:tc>
      </w:tr>
      <w:tr w14:paraId="789A5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58442B">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F161C0">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1）未按照招标文件规定要求进行编制、签署、盖章的；（2）投标有效期不满足招标文件要求的；（3）投标内容与招标内容及要求有重大偏离或保留的；（4）投标文件中提供虚假或失实资料的；（5）明显不符合技术规格、技术标准的要求；（6）投标人附有采购人不能接受的条件；（7）一个投标人只能提交一个投标文件；（8）投标文件组成不符合招标文件要求的；（9）投标文件的资格及资信证明部分、技术商务部分中出现报价部分的全部或部分的投标报价信息（或组成资料）；（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08519D4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商务符合性</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76"/>
        <w:gridCol w:w="7902"/>
      </w:tblGrid>
      <w:tr w14:paraId="6AB82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DCB03D">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BC2C75">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明细</w:t>
            </w:r>
          </w:p>
        </w:tc>
      </w:tr>
      <w:tr w14:paraId="093E4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4029A1">
            <w:pPr>
              <w:pStyle w:val="18"/>
              <w:widowControl/>
              <w:spacing w:beforeAutospacing="0" w:afterAutospacing="0" w:line="480" w:lineRule="atLeast"/>
              <w:jc w:val="center"/>
              <w:rPr>
                <w:rFonts w:ascii="Calibri" w:hAnsi="Calibri" w:eastAsia="宋体"/>
                <w:color w:val="000000"/>
              </w:rPr>
            </w:pPr>
            <w:r>
              <w:rPr>
                <w:rFonts w:hint="eastAsia" w:ascii="Calibri" w:hAnsi="Calibri" w:eastAsia="宋体"/>
                <w:color w:val="000000"/>
                <w:lang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5FB9DC">
            <w:pPr>
              <w:pStyle w:val="18"/>
              <w:widowControl/>
              <w:spacing w:beforeAutospacing="0" w:afterAutospacing="0" w:line="480" w:lineRule="atLeast"/>
              <w:jc w:val="both"/>
              <w:rPr>
                <w:rFonts w:ascii="Calibri" w:hAnsi="Calibri" w:eastAsia="宋体"/>
                <w:color w:val="000000"/>
              </w:rPr>
            </w:pPr>
            <w:r>
              <w:rPr>
                <w:rFonts w:hint="eastAsia" w:ascii="Calibri" w:hAnsi="Calibri" w:eastAsia="宋体"/>
                <w:color w:val="000000"/>
                <w:lang w:bidi="ar"/>
              </w:rPr>
              <w:t>（1）未按照招标文件规定要求进行编制、签署、盖章的；（2）投标有效期不满足招标文件要求的；（3）投标内容与招标内容及要求有重大偏离或保留的；（4）投标文件中提供虚假或失实资料的；（5）投标人附有采购人不能接受的条件；（6）投标人的交付地点、交付时间、支付方式、供货方式、售后服务、质保期等商务条件不符合招标文件要求，或不接受招标文件规定的合同款支付方式；（7）投标文件载明的货物包装方式、检验标准和方法等不符合招标文件要求或未载明货物包装方式、检验标准和方法的；（8）一个投标人只能提交一个投标文件；（9）投标文件组成不符合招标文件要求的；（10）投标文件的商务部分中出现报价部分的全部或部分的投标报价信息（或组成资料）；（11）属于招标文件规定评标委员会应否决其投标的情形，无效投标条款的；（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4A6B182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附加符合性：无</w:t>
      </w:r>
    </w:p>
    <w:p w14:paraId="0C1CA501">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价格符合性：</w:t>
      </w:r>
    </w:p>
    <w:tbl>
      <w:tblPr>
        <w:tblStyle w:val="23"/>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2"/>
        <w:gridCol w:w="7690"/>
      </w:tblGrid>
      <w:tr w14:paraId="779D9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pct"/>
            <w:vAlign w:val="center"/>
          </w:tcPr>
          <w:p w14:paraId="1DE3793D">
            <w:pPr>
              <w:pStyle w:val="33"/>
              <w:jc w:val="center"/>
              <w:rPr>
                <w:rFonts w:ascii="宋体" w:hAnsi="宋体" w:eastAsia="宋体" w:cs="宋体"/>
                <w:b/>
                <w:bCs/>
                <w:sz w:val="24"/>
                <w:szCs w:val="24"/>
              </w:rPr>
            </w:pPr>
            <w:r>
              <w:rPr>
                <w:rFonts w:ascii="宋体" w:hAnsi="宋体" w:eastAsia="宋体" w:cs="宋体"/>
                <w:b/>
                <w:bCs/>
                <w:sz w:val="24"/>
                <w:szCs w:val="24"/>
              </w:rPr>
              <w:t>情形</w:t>
            </w:r>
          </w:p>
        </w:tc>
        <w:tc>
          <w:tcPr>
            <w:tcW w:w="3902" w:type="pct"/>
          </w:tcPr>
          <w:p w14:paraId="3E10AFFA">
            <w:pPr>
              <w:pStyle w:val="33"/>
              <w:jc w:val="center"/>
              <w:rPr>
                <w:rFonts w:ascii="宋体" w:hAnsi="宋体" w:eastAsia="宋体" w:cs="宋体"/>
                <w:b/>
                <w:bCs/>
                <w:sz w:val="24"/>
                <w:szCs w:val="24"/>
              </w:rPr>
            </w:pPr>
            <w:r>
              <w:rPr>
                <w:rFonts w:ascii="宋体" w:hAnsi="宋体" w:eastAsia="宋体" w:cs="宋体"/>
                <w:b/>
                <w:bCs/>
                <w:sz w:val="24"/>
                <w:szCs w:val="24"/>
              </w:rPr>
              <w:t>明细</w:t>
            </w:r>
          </w:p>
        </w:tc>
      </w:tr>
      <w:tr w14:paraId="1BF59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pct"/>
            <w:vAlign w:val="center"/>
          </w:tcPr>
          <w:p w14:paraId="06B0F8B7">
            <w:pPr>
              <w:pStyle w:val="18"/>
              <w:spacing w:line="480" w:lineRule="atLeast"/>
              <w:jc w:val="center"/>
              <w:rPr>
                <w:rFonts w:ascii="Calibri" w:hAnsi="Calibri" w:eastAsia="宋体"/>
                <w:color w:val="000000"/>
              </w:rPr>
            </w:pPr>
            <w:r>
              <w:rPr>
                <w:rFonts w:hint="eastAsia" w:ascii="Calibri" w:hAnsi="Calibri" w:eastAsia="宋体"/>
                <w:color w:val="000000"/>
              </w:rPr>
              <w:t>其他情形</w:t>
            </w:r>
          </w:p>
        </w:tc>
        <w:tc>
          <w:tcPr>
            <w:tcW w:w="3902" w:type="pct"/>
          </w:tcPr>
          <w:p w14:paraId="77284401">
            <w:pPr>
              <w:pStyle w:val="18"/>
              <w:widowControl/>
              <w:spacing w:beforeAutospacing="0" w:afterAutospacing="0" w:line="480" w:lineRule="atLeast"/>
              <w:jc w:val="both"/>
              <w:rPr>
                <w:rFonts w:hint="eastAsia" w:ascii="Calibri" w:hAnsi="Calibri" w:eastAsia="宋体" w:cs="Times New Roman"/>
                <w:color w:val="000000"/>
                <w:lang w:bidi="ar"/>
              </w:rPr>
            </w:pPr>
            <w:r>
              <w:rPr>
                <w:rFonts w:hint="eastAsia" w:ascii="Calibri" w:hAnsi="Calibri" w:eastAsia="宋体" w:cs="Times New Roman"/>
                <w:color w:val="000000"/>
                <w:lang w:bidi="ar"/>
              </w:rPr>
              <w:t>评审中出现下列情形之一的，评审委员会应当启动异常低价投标（响应）审查程序： </w:t>
            </w:r>
          </w:p>
          <w:p w14:paraId="3B77D6BF">
            <w:pPr>
              <w:pStyle w:val="18"/>
              <w:widowControl/>
              <w:spacing w:beforeAutospacing="0" w:afterAutospacing="0" w:line="480" w:lineRule="atLeast"/>
              <w:jc w:val="both"/>
              <w:rPr>
                <w:rFonts w:hint="eastAsia" w:ascii="Calibri" w:hAnsi="Calibri" w:eastAsia="宋体" w:cs="Times New Roman"/>
                <w:color w:val="000000"/>
                <w:lang w:bidi="ar"/>
              </w:rPr>
            </w:pPr>
            <w:r>
              <w:rPr>
                <w:rFonts w:hint="eastAsia" w:ascii="Calibri" w:hAnsi="Calibri" w:eastAsia="宋体" w:cs="Times New Roman"/>
                <w:color w:val="000000"/>
                <w:lang w:bidi="ar"/>
              </w:rPr>
              <w:t>　　</w:t>
            </w:r>
            <w:r>
              <w:rPr>
                <w:rFonts w:hint="eastAsia" w:ascii="Calibri" w:hAnsi="Calibri" w:eastAsia="宋体" w:cs="Times New Roman"/>
                <w:color w:val="000000"/>
                <w:lang w:val="en-US" w:eastAsia="zh-CN" w:bidi="ar"/>
              </w:rPr>
              <w:t>（1）</w:t>
            </w:r>
            <w:r>
              <w:rPr>
                <w:rFonts w:hint="eastAsia" w:ascii="Calibri" w:hAnsi="Calibri" w:eastAsia="宋体" w:cs="Times New Roman"/>
                <w:color w:val="000000"/>
                <w:lang w:bidi="ar"/>
              </w:rPr>
              <w:t>投标（响应）报价低于全部通过符合性审查供应商投标（响应）报价平均值50%的，即投标（响应）报价&lt;全部通过符合性审查供应商投标（响应）报价平均值×50%； </w:t>
            </w:r>
          </w:p>
          <w:p w14:paraId="0F5C0958">
            <w:pPr>
              <w:pStyle w:val="18"/>
              <w:widowControl/>
              <w:spacing w:beforeAutospacing="0" w:afterAutospacing="0" w:line="480" w:lineRule="atLeast"/>
              <w:jc w:val="both"/>
              <w:rPr>
                <w:rFonts w:hint="eastAsia" w:ascii="Calibri" w:hAnsi="Calibri" w:eastAsia="宋体" w:cs="Times New Roman"/>
                <w:color w:val="000000"/>
                <w:lang w:bidi="ar"/>
              </w:rPr>
            </w:pPr>
            <w:r>
              <w:rPr>
                <w:rFonts w:hint="eastAsia" w:ascii="Calibri" w:hAnsi="Calibri" w:eastAsia="宋体" w:cs="Times New Roman"/>
                <w:color w:val="000000"/>
                <w:lang w:bidi="ar"/>
              </w:rPr>
              <w:t>　　</w:t>
            </w:r>
            <w:r>
              <w:rPr>
                <w:rFonts w:hint="eastAsia" w:ascii="Calibri" w:hAnsi="Calibri" w:eastAsia="宋体" w:cs="Times New Roman"/>
                <w:color w:val="000000"/>
                <w:lang w:val="en-US" w:eastAsia="zh-CN" w:bidi="ar"/>
              </w:rPr>
              <w:t>（2）</w:t>
            </w:r>
            <w:r>
              <w:rPr>
                <w:rFonts w:hint="eastAsia" w:ascii="Calibri" w:hAnsi="Calibri" w:eastAsia="宋体" w:cs="Times New Roman"/>
                <w:color w:val="000000"/>
                <w:lang w:bidi="ar"/>
              </w:rPr>
              <w:t>投标（响应）报价低于通过符合性审查的次低报价供应商投标（响应）报价50%的，即投标（响应）报价&lt;通过符合性审查的次低报价供应商投标（响应）报价×50%； </w:t>
            </w:r>
          </w:p>
          <w:p w14:paraId="1576EF96">
            <w:pPr>
              <w:pStyle w:val="18"/>
              <w:widowControl/>
              <w:spacing w:beforeAutospacing="0" w:afterAutospacing="0" w:line="480" w:lineRule="atLeast"/>
              <w:jc w:val="both"/>
              <w:rPr>
                <w:rFonts w:hint="eastAsia" w:ascii="Calibri" w:hAnsi="Calibri" w:eastAsia="宋体" w:cs="Times New Roman"/>
                <w:color w:val="000000"/>
                <w:lang w:bidi="ar"/>
              </w:rPr>
            </w:pPr>
            <w:r>
              <w:rPr>
                <w:rFonts w:hint="eastAsia" w:ascii="Calibri" w:hAnsi="Calibri" w:eastAsia="宋体" w:cs="Times New Roman"/>
                <w:color w:val="000000"/>
                <w:lang w:bidi="ar"/>
              </w:rPr>
              <w:t>　　</w:t>
            </w:r>
            <w:r>
              <w:rPr>
                <w:rFonts w:hint="eastAsia" w:ascii="Calibri" w:hAnsi="Calibri" w:eastAsia="宋体" w:cs="Times New Roman"/>
                <w:color w:val="000000"/>
                <w:lang w:val="en-US" w:eastAsia="zh-CN" w:bidi="ar"/>
              </w:rPr>
              <w:t>（3）</w:t>
            </w:r>
            <w:r>
              <w:rPr>
                <w:rFonts w:hint="eastAsia" w:ascii="Calibri" w:hAnsi="Calibri" w:eastAsia="宋体" w:cs="Times New Roman"/>
                <w:color w:val="000000"/>
                <w:lang w:bidi="ar"/>
              </w:rPr>
              <w:t>投标（响应）报价低于采购项目最高限价45%的，即投标（响应）报价&lt;采购项目最高限价×45%； </w:t>
            </w:r>
          </w:p>
          <w:p w14:paraId="208F2CCB">
            <w:pPr>
              <w:pStyle w:val="18"/>
              <w:widowControl/>
              <w:spacing w:beforeAutospacing="0" w:afterAutospacing="0" w:line="480" w:lineRule="atLeast"/>
              <w:jc w:val="both"/>
              <w:rPr>
                <w:rFonts w:hint="eastAsia" w:ascii="Calibri" w:hAnsi="Calibri" w:eastAsia="宋体" w:cs="Times New Roman"/>
                <w:color w:val="000000"/>
                <w:lang w:bidi="ar"/>
              </w:rPr>
            </w:pPr>
            <w:r>
              <w:rPr>
                <w:rFonts w:hint="eastAsia" w:ascii="Calibri" w:hAnsi="Calibri" w:eastAsia="宋体" w:cs="Times New Roman"/>
                <w:color w:val="000000"/>
                <w:lang w:bidi="ar"/>
              </w:rPr>
              <w:t>　　</w:t>
            </w:r>
            <w:r>
              <w:rPr>
                <w:rFonts w:hint="eastAsia" w:ascii="Calibri" w:hAnsi="Calibri" w:eastAsia="宋体" w:cs="Times New Roman"/>
                <w:color w:val="000000"/>
                <w:lang w:val="en-US" w:eastAsia="zh-CN" w:bidi="ar"/>
              </w:rPr>
              <w:t>（4）</w:t>
            </w:r>
            <w:r>
              <w:rPr>
                <w:rFonts w:hint="eastAsia" w:ascii="Calibri" w:hAnsi="Calibri" w:eastAsia="宋体" w:cs="Times New Roman"/>
                <w:color w:val="000000"/>
                <w:lang w:bidi="ar"/>
              </w:rPr>
              <w:t>评审委员会基于专业判断，认为供应商报价过低，有可能影响产品质量或者不能诚信履约的其他情形。</w:t>
            </w:r>
          </w:p>
          <w:p w14:paraId="1C78E4E6">
            <w:pPr>
              <w:pStyle w:val="18"/>
              <w:widowControl/>
              <w:spacing w:beforeAutospacing="0" w:afterAutospacing="0" w:line="480" w:lineRule="atLeast"/>
              <w:ind w:firstLine="480" w:firstLineChars="200"/>
              <w:jc w:val="both"/>
              <w:rPr>
                <w:rFonts w:hint="default" w:ascii="Calibri" w:hAnsi="Calibri" w:eastAsia="宋体" w:cs="Times New Roman"/>
                <w:color w:val="000000"/>
                <w:lang w:val="en-US" w:eastAsia="zh-CN" w:bidi="ar"/>
              </w:rPr>
            </w:pPr>
            <w:r>
              <w:rPr>
                <w:rFonts w:hint="eastAsia" w:ascii="Calibri" w:hAnsi="Calibri" w:eastAsia="宋体" w:cs="Times New Roman"/>
                <w:color w:val="000000"/>
                <w:lang w:bidi="ar"/>
              </w:rPr>
              <w:t>评审委员会启动异常低价投标（响应）审查后</w:t>
            </w:r>
            <w:r>
              <w:rPr>
                <w:rFonts w:hint="eastAsia" w:ascii="Calibri" w:hAnsi="Calibri" w:eastAsia="宋体" w:cs="Times New Roman"/>
                <w:color w:val="000000"/>
                <w:lang w:val="en-US" w:eastAsia="zh-CN" w:bidi="ar"/>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Calibri" w:hAnsi="Calibri" w:eastAsia="宋体" w:cs="Times New Roman"/>
                <w:color w:val="000000"/>
                <w:lang w:bidi="ar"/>
              </w:rPr>
              <w:t>投标（响应）</w:t>
            </w:r>
            <w:r>
              <w:rPr>
                <w:rFonts w:hint="eastAsia" w:ascii="Calibri" w:hAnsi="Calibri" w:eastAsia="宋体" w:cs="Times New Roman"/>
                <w:color w:val="000000"/>
                <w:lang w:val="en-US" w:eastAsia="zh-CN" w:bidi="ar"/>
              </w:rPr>
              <w:t>文件一并提交相关书面说明及必要的证明材料的，在评审现场可不再重复提交。</w:t>
            </w:r>
          </w:p>
          <w:p w14:paraId="42019140">
            <w:pPr>
              <w:pStyle w:val="18"/>
              <w:widowControl/>
              <w:spacing w:beforeAutospacing="0" w:afterAutospacing="0" w:line="480" w:lineRule="atLeast"/>
              <w:ind w:firstLine="480" w:firstLineChars="200"/>
              <w:jc w:val="both"/>
              <w:rPr>
                <w:rFonts w:hint="default" w:ascii="Calibri" w:hAnsi="Calibri" w:eastAsia="宋体" w:cs="Times New Roman"/>
                <w:color w:val="000000"/>
                <w:lang w:val="en-US" w:eastAsia="zh-CN" w:bidi="ar"/>
              </w:rPr>
            </w:pPr>
            <w:r>
              <w:rPr>
                <w:rFonts w:hint="eastAsia" w:ascii="Calibri" w:hAnsi="Calibri" w:eastAsia="宋体" w:cs="Times New Roman"/>
                <w:color w:val="000000"/>
                <w:lang w:bidi="ar"/>
              </w:rPr>
              <w:t>评审委员会</w:t>
            </w:r>
            <w:r>
              <w:rPr>
                <w:rFonts w:hint="eastAsia" w:ascii="Calibri" w:hAnsi="Calibri" w:eastAsia="宋体" w:cs="Times New Roman"/>
                <w:color w:val="000000"/>
                <w:lang w:val="en-US" w:eastAsia="zh-CN" w:bidi="ar"/>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Calibri" w:hAnsi="Calibri" w:eastAsia="宋体" w:cs="Times New Roman"/>
                <w:color w:val="000000"/>
                <w:lang w:bidi="ar"/>
              </w:rPr>
              <w:t>评审委员会应当将其作为无效投标（响应）处理</w:t>
            </w:r>
            <w:r>
              <w:rPr>
                <w:rFonts w:hint="eastAsia" w:ascii="Calibri" w:hAnsi="Calibri" w:eastAsia="宋体" w:cs="Times New Roman"/>
                <w:color w:val="000000"/>
                <w:lang w:val="en-US" w:eastAsia="zh-CN" w:bidi="ar"/>
              </w:rPr>
              <w:t>。</w:t>
            </w:r>
          </w:p>
          <w:p w14:paraId="1F4059CB">
            <w:pPr>
              <w:pStyle w:val="18"/>
              <w:widowControl/>
              <w:spacing w:beforeAutospacing="0" w:afterAutospacing="0" w:line="480" w:lineRule="atLeast"/>
              <w:ind w:firstLine="480" w:firstLineChars="200"/>
              <w:jc w:val="both"/>
              <w:rPr>
                <w:rFonts w:hint="eastAsia" w:ascii="Calibri" w:hAnsi="Calibri" w:eastAsia="宋体" w:cs="Times New Roman"/>
                <w:color w:val="000000"/>
                <w:lang w:bidi="ar"/>
              </w:rPr>
            </w:pPr>
            <w:r>
              <w:rPr>
                <w:rFonts w:hint="eastAsia" w:ascii="Calibri" w:hAnsi="Calibri" w:eastAsia="宋体" w:cs="Times New Roman"/>
                <w:color w:val="000000"/>
                <w:lang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56305B">
            <w:pPr>
              <w:pStyle w:val="18"/>
              <w:widowControl/>
              <w:spacing w:beforeAutospacing="0" w:afterAutospacing="0" w:line="480" w:lineRule="atLeast"/>
              <w:ind w:firstLine="480" w:firstLineChars="200"/>
              <w:jc w:val="both"/>
              <w:rPr>
                <w:rFonts w:ascii="Calibri" w:hAnsi="Calibri" w:eastAsia="宋体"/>
                <w:color w:val="000000"/>
              </w:rPr>
            </w:pPr>
            <w:r>
              <w:rPr>
                <w:rFonts w:hint="eastAsia" w:ascii="Calibri" w:hAnsi="Calibri" w:eastAsia="宋体" w:cs="Times New Roman"/>
                <w:color w:val="000000"/>
                <w:lang w:bidi="ar"/>
              </w:rPr>
              <w:t>异常低价投标（响应）审查的启动原因、审查意见和审查结果应当在评审报告中记录，并随供应商提供的相关书面说明及证明材料，以及评审委员会有关互联网浏览、查询历史一并归档。</w:t>
            </w:r>
          </w:p>
        </w:tc>
      </w:tr>
      <w:tr w14:paraId="309B1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pct"/>
            <w:vAlign w:val="center"/>
          </w:tcPr>
          <w:p w14:paraId="27D95F44">
            <w:pPr>
              <w:pStyle w:val="18"/>
              <w:spacing w:line="480" w:lineRule="atLeast"/>
              <w:jc w:val="center"/>
              <w:rPr>
                <w:rFonts w:ascii="Calibri" w:hAnsi="Calibri" w:eastAsia="宋体"/>
                <w:color w:val="000000"/>
              </w:rPr>
            </w:pPr>
            <w:r>
              <w:rPr>
                <w:rFonts w:hint="eastAsia" w:ascii="Calibri" w:hAnsi="Calibri" w:eastAsia="宋体"/>
                <w:color w:val="000000"/>
              </w:rPr>
              <w:t>其他情形</w:t>
            </w:r>
          </w:p>
        </w:tc>
        <w:tc>
          <w:tcPr>
            <w:tcW w:w="3902" w:type="pct"/>
          </w:tcPr>
          <w:p w14:paraId="66F562DD">
            <w:pPr>
              <w:pStyle w:val="18"/>
              <w:spacing w:line="480" w:lineRule="atLeast"/>
              <w:rPr>
                <w:rFonts w:ascii="Calibri" w:hAnsi="Calibri" w:eastAsia="宋体"/>
                <w:color w:val="000000"/>
              </w:rPr>
            </w:pPr>
            <w:r>
              <w:rPr>
                <w:rFonts w:hint="eastAsia" w:ascii="Calibri" w:hAnsi="Calibri" w:eastAsia="宋体" w:cs="Times New Roman"/>
                <w:color w:val="000000"/>
                <w:lang w:bidi="ar"/>
              </w:rPr>
              <w:t>评标委员会启动异常低价响应审查后，</w:t>
            </w:r>
            <w:r>
              <w:rPr>
                <w:rFonts w:hint="eastAsia" w:ascii="Calibri" w:hAnsi="Calibri" w:eastAsia="宋体" w:cs="Times New Roman"/>
                <w:color w:val="000000"/>
                <w:lang w:val="en-US" w:eastAsia="zh-CN" w:bidi="ar"/>
              </w:rPr>
              <w:t>供应商不能提供书面说明、证明材料，或者提供的书面说明、证明材料不能证明其报价合理性的，</w:t>
            </w:r>
            <w:r>
              <w:rPr>
                <w:rFonts w:hint="eastAsia" w:ascii="Calibri" w:hAnsi="Calibri" w:eastAsia="宋体" w:cs="Times New Roman"/>
                <w:color w:val="000000"/>
                <w:lang w:bidi="ar"/>
              </w:rPr>
              <w:t>评标委员会</w:t>
            </w:r>
            <w:r>
              <w:rPr>
                <w:rFonts w:hint="eastAsia" w:ascii="Calibri" w:hAnsi="Calibri" w:eastAsia="宋体" w:cs="Times New Roman"/>
                <w:color w:val="000000"/>
                <w:lang w:val="en-US" w:eastAsia="zh-CN" w:bidi="ar"/>
              </w:rPr>
              <w:t>应当将其作为无效响应处理。</w:t>
            </w:r>
          </w:p>
        </w:tc>
      </w:tr>
    </w:tbl>
    <w:p w14:paraId="70F3E4B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6.3澄清有关问题</w:t>
      </w:r>
    </w:p>
    <w:p w14:paraId="562E9C2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（1）对通过符合性审查的</w:t>
      </w:r>
      <w:r>
        <w:rPr>
          <w:rFonts w:hint="eastAsia" w:ascii="Calibri" w:hAnsi="Calibri" w:eastAsia="宋体"/>
          <w:color w:val="000000"/>
          <w:lang w:eastAsia="zh-CN" w:bidi="ar"/>
        </w:rPr>
        <w:t>电子投标文件</w:t>
      </w:r>
      <w:r>
        <w:rPr>
          <w:rFonts w:hint="eastAsia" w:ascii="Calibri" w:hAnsi="Calibri" w:eastAsia="宋体"/>
          <w:color w:val="000000"/>
          <w:lang w:bidi="ar"/>
        </w:rPr>
        <w:t>中含义不明确、同类问题表述不一致或有明显文字和计算错误的内容，评标委员会将以书面形式要求投标人作出必要的澄清、说明或补正。</w:t>
      </w:r>
    </w:p>
    <w:p w14:paraId="7F66AE12">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（2）投标人的澄清、说明或补正应由投标人代表在评标委员会规定的时间内（一般在半个小时左右，具体要求将根据实际情况在澄清通知中约定）以书面形式向评标委员会提交，前述澄清、说明或补正不得超出</w:t>
      </w:r>
      <w:r>
        <w:rPr>
          <w:rFonts w:hint="eastAsia" w:ascii="Calibri" w:hAnsi="Calibri" w:eastAsia="宋体"/>
          <w:color w:val="000000"/>
          <w:lang w:eastAsia="zh-CN" w:bidi="ar"/>
        </w:rPr>
        <w:t>电子投标文件</w:t>
      </w:r>
      <w:r>
        <w:rPr>
          <w:rFonts w:hint="eastAsia" w:ascii="Calibri" w:hAnsi="Calibri" w:eastAsia="宋体"/>
          <w:color w:val="000000"/>
          <w:lang w:bidi="ar"/>
        </w:rPr>
        <w:t>的范围或改变</w:t>
      </w:r>
      <w:r>
        <w:rPr>
          <w:rFonts w:hint="eastAsia" w:ascii="Calibri" w:hAnsi="Calibri" w:eastAsia="宋体"/>
          <w:color w:val="000000"/>
          <w:lang w:eastAsia="zh-CN" w:bidi="ar"/>
        </w:rPr>
        <w:t>电子投标文件</w:t>
      </w:r>
      <w:r>
        <w:rPr>
          <w:rFonts w:hint="eastAsia" w:ascii="Calibri" w:hAnsi="Calibri" w:eastAsia="宋体"/>
          <w:color w:val="000000"/>
          <w:lang w:bidi="ar"/>
        </w:rPr>
        <w:t>的实质性内容。若投标人未按照前述规定向评标委员会提交书面澄清、说明或补正，则评标委员会将按照不利于投标人的内容进行认定。</w:t>
      </w:r>
    </w:p>
    <w:p w14:paraId="122D855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w:t>
      </w:r>
      <w:r>
        <w:rPr>
          <w:rFonts w:hint="eastAsia" w:ascii="Calibri" w:hAnsi="Calibri" w:eastAsia="宋体"/>
          <w:color w:val="000000"/>
          <w:lang w:eastAsia="zh-CN" w:bidi="ar"/>
        </w:rPr>
        <w:t>电子投标文件</w:t>
      </w:r>
      <w:r>
        <w:rPr>
          <w:rFonts w:hint="eastAsia" w:ascii="Calibri" w:hAnsi="Calibri" w:eastAsia="宋体"/>
          <w:color w:val="000000"/>
          <w:lang w:bidi="ar"/>
        </w:rPr>
        <w:t>报价出现前后不一致的，除招标文件另有规定外，按照下列规定修正：</w:t>
      </w:r>
    </w:p>
    <w:p w14:paraId="1E49D389">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①开标（报价）一览表内容与电子投标文件中相应内容不一致的，以开标（报价）一览表为准；</w:t>
      </w:r>
    </w:p>
    <w:p w14:paraId="724B383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②大写金额和小写金额不一致的，以大写金额为准；</w:t>
      </w:r>
    </w:p>
    <w:p w14:paraId="4B7C15F2">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③单价金额小数点或百分比有明显错位的，以开标（报价）一览表的总价为准，并修改单价；</w:t>
      </w:r>
    </w:p>
    <w:p w14:paraId="4F681DF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④总价金额与按照单价汇总金额不一致的，以单价金额计算结果为准。</w:t>
      </w:r>
    </w:p>
    <w:p w14:paraId="24969C7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※同时出现两种以上不一致的，按照前款规定的顺序修正。修正后的报价应按照本章第6.3条第（1）、（2）款规定经投标人确认后产生约束力，投标人不确认的，其</w:t>
      </w:r>
      <w:r>
        <w:rPr>
          <w:rFonts w:hint="eastAsia" w:ascii="Calibri" w:hAnsi="Calibri" w:eastAsia="宋体"/>
          <w:b/>
          <w:bCs/>
          <w:color w:val="000000"/>
          <w:lang w:bidi="ar"/>
        </w:rPr>
        <w:t>投标无效</w:t>
      </w:r>
      <w:r>
        <w:rPr>
          <w:rFonts w:hint="eastAsia" w:ascii="Calibri" w:hAnsi="Calibri" w:eastAsia="宋体"/>
          <w:color w:val="000000"/>
          <w:lang w:bidi="ar"/>
        </w:rPr>
        <w:t>。</w:t>
      </w:r>
    </w:p>
    <w:p w14:paraId="5B32758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（4）关于细微偏差</w:t>
      </w:r>
    </w:p>
    <w:p w14:paraId="561897C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①细微偏差指</w:t>
      </w:r>
      <w:r>
        <w:rPr>
          <w:rFonts w:hint="eastAsia" w:ascii="Calibri" w:hAnsi="Calibri" w:eastAsia="宋体"/>
          <w:color w:val="000000"/>
          <w:lang w:eastAsia="zh-CN" w:bidi="ar"/>
        </w:rPr>
        <w:t>电子投标文件</w:t>
      </w:r>
      <w:r>
        <w:rPr>
          <w:rFonts w:hint="eastAsia" w:ascii="Calibri" w:hAnsi="Calibri" w:eastAsia="宋体"/>
          <w:color w:val="000000"/>
          <w:lang w:bidi="ar"/>
        </w:rPr>
        <w:t>实质性响应招标文件要求，但在个别地方存在漏项或提供了不完整的技术信息和数据等情况，并且补正这些遗漏或不完整不会对其他投标人造成不公平的结果。细微偏差不影响</w:t>
      </w:r>
      <w:r>
        <w:rPr>
          <w:rFonts w:hint="eastAsia" w:ascii="Calibri" w:hAnsi="Calibri" w:eastAsia="宋体"/>
          <w:color w:val="000000"/>
          <w:lang w:eastAsia="zh-CN" w:bidi="ar"/>
        </w:rPr>
        <w:t>电子投标文件</w:t>
      </w:r>
      <w:r>
        <w:rPr>
          <w:rFonts w:hint="eastAsia" w:ascii="Calibri" w:hAnsi="Calibri" w:eastAsia="宋体"/>
          <w:color w:val="000000"/>
          <w:lang w:bidi="ar"/>
        </w:rPr>
        <w:t>的有效性。</w:t>
      </w:r>
    </w:p>
    <w:p w14:paraId="2A559E29">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②评标委员会将以书面形式要求存在细微偏差的投标人在评标委员会规定的时间内予以补正。若无法补正，则评标委员会将按照不利于投标人的内容进行认定。</w:t>
      </w:r>
    </w:p>
    <w:p w14:paraId="6278F21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（5）关于投标描述（即</w:t>
      </w:r>
      <w:r>
        <w:rPr>
          <w:rFonts w:hint="eastAsia" w:ascii="Calibri" w:hAnsi="Calibri" w:eastAsia="宋体"/>
          <w:color w:val="000000"/>
          <w:lang w:eastAsia="zh-CN" w:bidi="ar"/>
        </w:rPr>
        <w:t>电子投标文件</w:t>
      </w:r>
      <w:r>
        <w:rPr>
          <w:rFonts w:hint="eastAsia" w:ascii="Calibri" w:hAnsi="Calibri" w:eastAsia="宋体"/>
          <w:color w:val="000000"/>
          <w:lang w:bidi="ar"/>
        </w:rPr>
        <w:t>中描述的内容）</w:t>
      </w:r>
    </w:p>
    <w:p w14:paraId="77F770A3">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①投标描述前后不一致且不涉及证明材料的：按照本章第6.3条第（1）、（2）款规定执行。</w:t>
      </w:r>
    </w:p>
    <w:p w14:paraId="06F8288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②投标描述与证明材料不一致或多份证明材料之间不一致的：</w:t>
      </w:r>
    </w:p>
    <w:p w14:paraId="0AFACF5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a.评标委员会将要求投标人进行书面澄清，并按照不利于投标人的内容进行评标。</w:t>
      </w:r>
    </w:p>
    <w:p w14:paraId="0E985DE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838945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6035E83">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6.4比较与评价</w:t>
      </w:r>
    </w:p>
    <w:p w14:paraId="5C1B88B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（1）按照本章第7条载明的评标方法和标准，对符合性审查合格的</w:t>
      </w:r>
      <w:r>
        <w:rPr>
          <w:rFonts w:hint="eastAsia" w:ascii="Calibri" w:hAnsi="Calibri" w:eastAsia="宋体"/>
          <w:color w:val="000000"/>
          <w:lang w:eastAsia="zh-CN" w:bidi="ar"/>
        </w:rPr>
        <w:t>电子投标文件</w:t>
      </w:r>
      <w:r>
        <w:rPr>
          <w:rFonts w:hint="eastAsia" w:ascii="Calibri" w:hAnsi="Calibri" w:eastAsia="宋体"/>
          <w:color w:val="000000"/>
          <w:lang w:bidi="ar"/>
        </w:rPr>
        <w:t>进行比较与评价。</w:t>
      </w:r>
    </w:p>
    <w:p w14:paraId="555FA65A">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（2）关于相同品牌产品（政府采购服务类项目不适用本条款规定）</w:t>
      </w:r>
    </w:p>
    <w:p w14:paraId="3384F821">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30C7C8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a.招标文件规定的方式：</w:t>
      </w:r>
    </w:p>
    <w:p w14:paraId="7B9A583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按照技术指标优劣、服务要求响应优劣、资格条件高低、商务条件高低情况依序择优确定一个投标人获得中标人推荐资格。其他同品牌投标人不作为中标候选人。</w:t>
      </w:r>
    </w:p>
    <w:p w14:paraId="3179C08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b.招标文件未规定的，采取随机抽取方式确定，其他</w:t>
      </w:r>
      <w:r>
        <w:rPr>
          <w:rFonts w:hint="eastAsia" w:ascii="Calibri" w:hAnsi="Calibri" w:eastAsia="宋体"/>
          <w:b/>
          <w:bCs/>
          <w:color w:val="000000"/>
          <w:lang w:bidi="ar"/>
        </w:rPr>
        <w:t>投标无效</w:t>
      </w:r>
      <w:r>
        <w:rPr>
          <w:rFonts w:hint="eastAsia" w:ascii="Calibri" w:hAnsi="Calibri" w:eastAsia="宋体"/>
          <w:color w:val="000000"/>
          <w:lang w:bidi="ar"/>
        </w:rPr>
        <w:t>。</w:t>
      </w:r>
    </w:p>
    <w:p w14:paraId="00F3785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0297D5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a.招标文件规定的方式：</w:t>
      </w:r>
    </w:p>
    <w:p w14:paraId="19729D3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根据投标人的售后服务承诺等方面，择优选择中标候选人。其他同品牌投标人不作为中标候选人。</w:t>
      </w:r>
    </w:p>
    <w:p w14:paraId="3156398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b.招标文件未规定的，采取随机抽取方式确定，其他同品牌投标人不作为中标候选人。</w:t>
      </w:r>
    </w:p>
    <w:p w14:paraId="4E4F7EA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③非单一产品采购项目，多家投标人提供的核心产品品牌相同的，按照本章第6.4条第（2）款第①、②规定处理。</w:t>
      </w:r>
    </w:p>
    <w:p w14:paraId="07B1633A">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（3）漏（缺）项</w:t>
      </w:r>
    </w:p>
    <w:p w14:paraId="67531C6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①招标文件中要求列入报价的费用（含配置、功能），漏（缺）项的报价视为已经包括在投标总价中。</w:t>
      </w:r>
    </w:p>
    <w:p w14:paraId="180F107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②对多报项及赠送项的价格评标时不予核减，全部进入评标价评议。</w:t>
      </w:r>
    </w:p>
    <w:p w14:paraId="6D252FFD">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6.5推荐中标候选人：详见本章第7.2条规定。</w:t>
      </w:r>
    </w:p>
    <w:p w14:paraId="6E831DA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6.6编写评标报告</w:t>
      </w:r>
    </w:p>
    <w:p w14:paraId="010C1C5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（1）评标报告由评标委员会负责编写。</w:t>
      </w:r>
    </w:p>
    <w:p w14:paraId="4C975B9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（2）评标报告应包括下列内容：</w:t>
      </w:r>
    </w:p>
    <w:p w14:paraId="2720AFE0">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①招标公告刊登的媒体名称、开标日期和地点；</w:t>
      </w:r>
    </w:p>
    <w:p w14:paraId="34543AA3">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②投标人名单和评标委员会成员名单；</w:t>
      </w:r>
    </w:p>
    <w:p w14:paraId="13961213">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③评标方法和标准；</w:t>
      </w:r>
    </w:p>
    <w:p w14:paraId="0EDACCA6">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④开标记录和评标情况及说明，包括无效投标人名单及原因；</w:t>
      </w:r>
    </w:p>
    <w:p w14:paraId="36CE128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⑤评标结果，包括中标候选人名单或确定的中标人；</w:t>
      </w:r>
    </w:p>
    <w:p w14:paraId="31EB42F5">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⑥其他需要说明的情况，包括但不限于：评标过程中投标人的澄清、说明或补正，评委更换等。</w:t>
      </w:r>
    </w:p>
    <w:p w14:paraId="73D222F8">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Calibri" w:hAnsi="Calibri" w:eastAsia="宋体"/>
          <w:b/>
          <w:bCs/>
          <w:color w:val="000000"/>
          <w:lang w:bidi="ar"/>
        </w:rPr>
        <w:t>投标无效</w:t>
      </w:r>
      <w:r>
        <w:rPr>
          <w:rFonts w:hint="eastAsia" w:ascii="Calibri" w:hAnsi="Calibri" w:eastAsia="宋体"/>
          <w:color w:val="000000"/>
          <w:lang w:bidi="ar"/>
        </w:rPr>
        <w:t>处理。</w:t>
      </w:r>
    </w:p>
    <w:p w14:paraId="153353DC">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6.8评委对需要共同认定的事项存在争议的，应按照少数服从多数的原则进行认定。持不同意见的评委应在评标报告上签署不同意见及理由，否则视为同意评标报告。</w:t>
      </w:r>
    </w:p>
    <w:p w14:paraId="0EE6FB44">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6.9在评标过程中发现投标人有下列情形之一的，评标委员会应认定其</w:t>
      </w:r>
      <w:r>
        <w:rPr>
          <w:rFonts w:hint="eastAsia" w:ascii="Calibri" w:hAnsi="Calibri" w:eastAsia="宋体"/>
          <w:b/>
          <w:bCs/>
          <w:color w:val="000000"/>
          <w:lang w:bidi="ar"/>
        </w:rPr>
        <w:t>投标无效</w:t>
      </w:r>
      <w:r>
        <w:rPr>
          <w:rFonts w:hint="eastAsia" w:ascii="Calibri" w:hAnsi="Calibri" w:eastAsia="宋体"/>
          <w:color w:val="000000"/>
          <w:lang w:bidi="ar"/>
        </w:rPr>
        <w:t>，并书面报告本项目监督管理部门：</w:t>
      </w:r>
    </w:p>
    <w:p w14:paraId="3F8ECDBF">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（1）恶意串通（包括但不限于招标文件第三章第9.7条规定情形）；</w:t>
      </w:r>
    </w:p>
    <w:p w14:paraId="0DFCF17E">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（2）妨碍其他投标人的竞争行为；</w:t>
      </w:r>
    </w:p>
    <w:p w14:paraId="090A735A">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（3）损害采购人或其他投标人的合法权益。</w:t>
      </w:r>
    </w:p>
    <w:p w14:paraId="58D810DB">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6.10评标过程中，有下列情形之一的，应予废标：</w:t>
      </w:r>
    </w:p>
    <w:p w14:paraId="26AB00B2">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（1）符合性审查合格的投标人不足三家的；</w:t>
      </w:r>
    </w:p>
    <w:p w14:paraId="05534687">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color w:val="000000"/>
          <w:lang w:bidi="ar"/>
        </w:rPr>
        <w:t>（2）有关法律、法规和规章规定废标的情形。</w:t>
      </w:r>
    </w:p>
    <w:p w14:paraId="68A2C434">
      <w:pPr>
        <w:pStyle w:val="18"/>
        <w:widowControl/>
        <w:spacing w:beforeAutospacing="0" w:afterAutospacing="0" w:line="480" w:lineRule="atLeast"/>
        <w:ind w:firstLine="420"/>
        <w:jc w:val="both"/>
        <w:rPr>
          <w:rFonts w:hint="eastAsia" w:ascii="宋体" w:hAnsi="宋体" w:eastAsia="宋体" w:cs="宋体"/>
          <w:color w:val="000000"/>
          <w:lang w:bidi="ar"/>
        </w:rPr>
      </w:pPr>
      <w:r>
        <w:rPr>
          <w:rFonts w:hint="eastAsia" w:ascii="Calibri" w:hAnsi="Calibri" w:eastAsia="宋体"/>
          <w:color w:val="000000"/>
          <w:lang w:bidi="ar"/>
        </w:rPr>
        <w:t>※若废标，则本次</w:t>
      </w:r>
      <w:r>
        <w:rPr>
          <w:rFonts w:hint="eastAsia" w:ascii="宋体" w:hAnsi="宋体" w:eastAsia="宋体" w:cs="宋体"/>
          <w:color w:val="000000"/>
          <w:lang w:bidi="ar"/>
        </w:rPr>
        <w:t>采购活动结束，福建省新卫招标代理有限公司将依法组织后续采购活动（包括但不限于：重新招标、采用其他方式采购等）。</w:t>
      </w:r>
    </w:p>
    <w:p w14:paraId="55267FB9">
      <w:pPr>
        <w:pStyle w:val="18"/>
        <w:widowControl/>
        <w:spacing w:beforeAutospacing="0" w:afterAutospacing="0" w:line="480" w:lineRule="atLeast"/>
        <w:ind w:firstLine="420"/>
        <w:jc w:val="both"/>
        <w:rPr>
          <w:rFonts w:hint="eastAsia" w:ascii="宋体" w:hAnsi="宋体" w:eastAsia="宋体" w:cs="宋体"/>
          <w:color w:val="000000"/>
          <w:lang w:bidi="ar"/>
        </w:rPr>
      </w:pPr>
      <w:r>
        <w:rPr>
          <w:rFonts w:hint="eastAsia" w:ascii="宋体" w:hAnsi="宋体" w:eastAsia="宋体" w:cs="宋体"/>
          <w:color w:val="000000"/>
          <w:lang w:bidi="ar"/>
        </w:rPr>
        <w:t>7、评标方法和标准</w:t>
      </w:r>
    </w:p>
    <w:p w14:paraId="34BAF10D">
      <w:pPr>
        <w:pStyle w:val="18"/>
        <w:widowControl/>
        <w:spacing w:beforeAutospacing="0" w:afterAutospacing="0" w:line="480" w:lineRule="atLeast"/>
        <w:ind w:firstLine="420"/>
        <w:jc w:val="both"/>
        <w:rPr>
          <w:rFonts w:hint="eastAsia" w:ascii="宋体" w:hAnsi="宋体" w:eastAsia="宋体" w:cs="宋体"/>
          <w:color w:val="000000"/>
          <w:lang w:bidi="ar"/>
        </w:rPr>
      </w:pPr>
      <w:r>
        <w:rPr>
          <w:rFonts w:hint="eastAsia" w:ascii="宋体" w:hAnsi="宋体" w:eastAsia="宋体" w:cs="宋体"/>
          <w:color w:val="000000"/>
          <w:lang w:bidi="ar"/>
        </w:rPr>
        <w:t>7.1评标方法：</w:t>
      </w:r>
    </w:p>
    <w:p w14:paraId="32E00283">
      <w:pPr>
        <w:pStyle w:val="18"/>
        <w:widowControl/>
        <w:spacing w:beforeAutospacing="0" w:afterAutospacing="0" w:line="480" w:lineRule="atLeast"/>
        <w:ind w:firstLine="420"/>
        <w:jc w:val="both"/>
        <w:rPr>
          <w:rFonts w:hint="eastAsia" w:ascii="宋体" w:hAnsi="宋体" w:eastAsia="宋体" w:cs="宋体"/>
          <w:shd w:val="clear" w:color="auto" w:fill="FFFFFF"/>
        </w:rPr>
      </w:pPr>
      <w:r>
        <w:rPr>
          <w:rFonts w:hint="eastAsia" w:ascii="宋体" w:hAnsi="宋体" w:eastAsia="宋体" w:cs="宋体"/>
          <w:color w:val="000000"/>
          <w:lang w:bidi="ar"/>
        </w:rPr>
        <w:t>采购包1：</w:t>
      </w:r>
      <w:r>
        <w:rPr>
          <w:rFonts w:hint="eastAsia" w:ascii="宋体" w:hAnsi="宋体" w:eastAsia="宋体" w:cs="宋体"/>
          <w:b w:val="0"/>
          <w:bCs w:val="0"/>
          <w:color w:val="000000"/>
          <w:kern w:val="0"/>
          <w:sz w:val="24"/>
          <w:szCs w:val="24"/>
          <w:highlight w:val="none"/>
          <w:lang w:val="en-US" w:eastAsia="zh-CN" w:bidi="ar"/>
        </w:rPr>
        <w:t>最低评标价法</w:t>
      </w:r>
    </w:p>
    <w:p w14:paraId="6378920F">
      <w:pPr>
        <w:pStyle w:val="18"/>
        <w:widowControl/>
        <w:spacing w:beforeAutospacing="0" w:afterAutospacing="0" w:line="480" w:lineRule="atLeast"/>
        <w:ind w:firstLine="420"/>
        <w:jc w:val="both"/>
        <w:rPr>
          <w:rFonts w:hint="eastAsia" w:ascii="宋体" w:hAnsi="宋体" w:eastAsia="宋体" w:cs="宋体"/>
          <w:b w:val="0"/>
          <w:bCs w:val="0"/>
          <w:color w:val="000000"/>
          <w:lang w:bidi="ar"/>
        </w:rPr>
      </w:pPr>
      <w:r>
        <w:rPr>
          <w:rFonts w:hint="eastAsia" w:ascii="宋体" w:hAnsi="宋体" w:eastAsia="宋体" w:cs="宋体"/>
          <w:color w:val="000000"/>
          <w:lang w:bidi="ar"/>
        </w:rPr>
        <w:t>7.2评标标准</w:t>
      </w:r>
      <w:r>
        <w:rPr>
          <w:rFonts w:hint="eastAsia" w:ascii="宋体" w:hAnsi="宋体" w:eastAsia="宋体" w:cs="宋体"/>
          <w:color w:val="000000"/>
          <w:lang w:eastAsia="zh-CN" w:bidi="ar"/>
        </w:rPr>
        <w:t>：</w:t>
      </w:r>
    </w:p>
    <w:p w14:paraId="3293D0B2">
      <w:pPr>
        <w:pStyle w:val="18"/>
        <w:widowControl/>
        <w:spacing w:beforeAutospacing="0" w:afterAutospacing="0" w:line="480" w:lineRule="atLeast"/>
        <w:ind w:firstLine="420"/>
        <w:jc w:val="both"/>
        <w:rPr>
          <w:rFonts w:ascii="Calibri" w:hAnsi="Calibri" w:eastAsia="宋体"/>
          <w:color w:val="000000"/>
          <w:lang w:bidi="ar"/>
        </w:rPr>
      </w:pPr>
      <w:r>
        <w:rPr>
          <w:rFonts w:hint="eastAsia" w:ascii="Calibri" w:hAnsi="Calibri" w:eastAsia="宋体"/>
          <w:b/>
          <w:bCs/>
          <w:color w:val="000000"/>
          <w:lang w:bidi="ar"/>
        </w:rPr>
        <w:t>采购包1：</w:t>
      </w:r>
      <w:r>
        <w:rPr>
          <w:rFonts w:hint="eastAsia" w:ascii="宋体" w:hAnsi="宋体" w:eastAsia="宋体" w:cs="宋体"/>
          <w:b w:val="0"/>
          <w:bCs w:val="0"/>
          <w:color w:val="000000"/>
          <w:kern w:val="0"/>
          <w:sz w:val="24"/>
          <w:szCs w:val="24"/>
          <w:highlight w:val="none"/>
          <w:lang w:val="en-US" w:eastAsia="zh-CN" w:bidi="ar"/>
        </w:rPr>
        <w:t>最低评标价法</w:t>
      </w:r>
    </w:p>
    <w:p w14:paraId="4D3F18EF">
      <w:pPr>
        <w:pStyle w:val="18"/>
        <w:widowControl/>
        <w:spacing w:beforeAutospacing="0" w:afterAutospacing="0" w:line="480" w:lineRule="atLeast"/>
        <w:ind w:firstLine="420"/>
        <w:jc w:val="both"/>
        <w:rPr>
          <w:rFonts w:ascii="Calibri" w:hAnsi="Calibri" w:eastAsia="宋体"/>
          <w:color w:val="000000"/>
          <w:lang w:bidi="ar"/>
        </w:rPr>
      </w:pPr>
      <w:r>
        <w:rPr>
          <w:rFonts w:hint="eastAsia" w:ascii="宋体" w:hAnsi="宋体" w:eastAsia="宋体" w:cs="宋体"/>
          <w:b w:val="0"/>
          <w:bCs w:val="0"/>
          <w:color w:val="000000"/>
          <w:kern w:val="0"/>
          <w:sz w:val="24"/>
          <w:szCs w:val="24"/>
          <w:highlight w:val="none"/>
          <w:lang w:val="en-US" w:eastAsia="zh-CN" w:bidi="ar"/>
        </w:rPr>
        <w:t>投标文件满足招标文件全部实质性要求，且投标报价最低的投标人为中标候选人。</w:t>
      </w:r>
    </w:p>
    <w:p w14:paraId="157615A5">
      <w:pPr>
        <w:pStyle w:val="18"/>
        <w:widowControl/>
        <w:shd w:val="clear" w:color="auto" w:fill="FFFFFF"/>
        <w:spacing w:beforeAutospacing="0" w:afterAutospacing="0" w:line="480" w:lineRule="atLeast"/>
        <w:ind w:firstLine="420"/>
        <w:jc w:val="both"/>
        <w:rPr>
          <w:rFonts w:hint="eastAsia" w:ascii="宋体" w:hAnsi="宋体" w:eastAsia="宋体" w:cs="宋体"/>
          <w:color w:val="auto"/>
          <w:highlight w:val="none"/>
          <w:shd w:val="clear" w:color="auto" w:fill="FFFFFF"/>
        </w:rPr>
      </w:pPr>
      <w:bookmarkStart w:id="32" w:name="OLE_LINK1"/>
      <w:r>
        <w:rPr>
          <w:rFonts w:hint="eastAsia" w:ascii="宋体" w:hAnsi="宋体" w:eastAsia="宋体" w:cs="宋体"/>
          <w:color w:val="auto"/>
          <w:highlight w:val="none"/>
          <w:shd w:val="clear" w:color="auto" w:fill="FFFFFF"/>
        </w:rPr>
        <w:t>※除本章第6.3条第（3）款规定情形外，不能对投标人的投标报价进行任何调整。</w:t>
      </w:r>
    </w:p>
    <w:p w14:paraId="3C7DAE02">
      <w:pPr>
        <w:pStyle w:val="18"/>
        <w:widowControl/>
        <w:shd w:val="clear" w:color="auto" w:fill="FFFFFF"/>
        <w:spacing w:beforeAutospacing="0" w:afterAutospacing="0" w:line="480" w:lineRule="atLeast"/>
        <w:ind w:firstLine="420"/>
        <w:jc w:val="both"/>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shd w:val="clear" w:color="auto" w:fill="FFFFFF"/>
          <w:lang w:val="en-US" w:eastAsia="zh-CN"/>
        </w:rPr>
        <w:t>3</w:t>
      </w:r>
      <w:r>
        <w:rPr>
          <w:rFonts w:hint="eastAsia" w:ascii="宋体" w:hAnsi="宋体" w:eastAsia="宋体" w:cs="宋体"/>
          <w:color w:val="auto"/>
          <w:highlight w:val="none"/>
          <w:shd w:val="clear" w:color="auto" w:fill="FFFFFF"/>
        </w:rPr>
        <w:t>）中标候选人排列规则顺序如下：</w:t>
      </w:r>
    </w:p>
    <w:p w14:paraId="41B8CF43">
      <w:pPr>
        <w:pStyle w:val="18"/>
        <w:widowControl/>
        <w:spacing w:beforeAutospacing="0" w:afterAutospacing="0" w:line="480" w:lineRule="atLeast"/>
        <w:ind w:firstLine="420"/>
        <w:jc w:val="both"/>
        <w:rPr>
          <w:rFonts w:hint="eastAsia" w:ascii="Calibri" w:hAnsi="Calibri" w:eastAsia="宋体" w:cs="Times New Roman"/>
          <w:color w:val="000000"/>
          <w:lang w:bidi="ar"/>
        </w:rPr>
      </w:pPr>
      <w:r>
        <w:rPr>
          <w:rFonts w:hint="eastAsia" w:ascii="Calibri" w:hAnsi="Calibri" w:eastAsia="宋体" w:cs="Times New Roman"/>
          <w:color w:val="000000"/>
          <w:lang w:bidi="ar"/>
        </w:rPr>
        <w:t>a.按照评标价由低到高顺序排列。</w:t>
      </w:r>
    </w:p>
    <w:p w14:paraId="09DCBF0B">
      <w:pPr>
        <w:pStyle w:val="18"/>
        <w:widowControl/>
        <w:spacing w:beforeAutospacing="0" w:afterAutospacing="0" w:line="480" w:lineRule="atLeast"/>
        <w:ind w:firstLine="420"/>
        <w:jc w:val="both"/>
        <w:rPr>
          <w:rFonts w:hint="eastAsia" w:ascii="Calibri" w:hAnsi="Calibri" w:eastAsia="宋体" w:cs="Times New Roman"/>
          <w:color w:val="000000"/>
          <w:lang w:bidi="ar"/>
        </w:rPr>
      </w:pPr>
      <w:r>
        <w:rPr>
          <w:rFonts w:hint="eastAsia" w:ascii="Calibri" w:hAnsi="Calibri" w:eastAsia="宋体" w:cs="Times New Roman"/>
          <w:color w:val="000000"/>
          <w:lang w:bidi="ar"/>
        </w:rPr>
        <w:t>b.评标价相同的并列。</w:t>
      </w:r>
    </w:p>
    <w:p w14:paraId="27C6FBE6">
      <w:pPr>
        <w:pStyle w:val="18"/>
        <w:widowControl/>
        <w:shd w:val="clear" w:color="auto" w:fill="FFFFFF"/>
        <w:spacing w:beforeAutospacing="0" w:afterAutospacing="0" w:line="480" w:lineRule="atLeast"/>
        <w:ind w:firstLine="420"/>
        <w:jc w:val="both"/>
        <w:rPr>
          <w:rFonts w:hint="eastAsia" w:ascii="宋体" w:hAnsi="宋体" w:eastAsia="宋体" w:cs="宋体"/>
        </w:rPr>
      </w:pPr>
      <w:r>
        <w:rPr>
          <w:rFonts w:hint="eastAsia" w:ascii="宋体" w:hAnsi="宋体" w:eastAsia="宋体" w:cs="宋体"/>
          <w:shd w:val="clear" w:color="auto" w:fill="FFFFFF"/>
        </w:rPr>
        <w:t>8、其他规定</w:t>
      </w:r>
    </w:p>
    <w:p w14:paraId="0A07FEB7">
      <w:pPr>
        <w:pStyle w:val="18"/>
        <w:widowControl/>
        <w:shd w:val="clear" w:color="auto" w:fill="FFFFFF"/>
        <w:spacing w:beforeAutospacing="0" w:afterAutospacing="0" w:line="480" w:lineRule="atLeast"/>
        <w:ind w:firstLine="420"/>
        <w:jc w:val="both"/>
        <w:rPr>
          <w:rFonts w:hint="eastAsia" w:ascii="宋体" w:hAnsi="宋体" w:eastAsia="宋体" w:cs="宋体"/>
        </w:rPr>
      </w:pPr>
      <w:r>
        <w:rPr>
          <w:rFonts w:hint="eastAsia" w:ascii="宋体" w:hAnsi="宋体" w:eastAsia="宋体" w:cs="宋体"/>
          <w:shd w:val="clear" w:color="auto" w:fill="FFFFFF"/>
        </w:rPr>
        <w:t>8.1评标应全程保密且不得透露给任一投标人或与评标工作无关的人员。</w:t>
      </w:r>
    </w:p>
    <w:p w14:paraId="1C802836">
      <w:pPr>
        <w:pStyle w:val="18"/>
        <w:widowControl/>
        <w:shd w:val="clear" w:color="auto" w:fill="FFFFFF"/>
        <w:spacing w:beforeAutospacing="0" w:afterAutospacing="0" w:line="480" w:lineRule="atLeast"/>
        <w:ind w:firstLine="420"/>
        <w:jc w:val="both"/>
        <w:rPr>
          <w:rFonts w:hint="eastAsia" w:ascii="宋体" w:hAnsi="宋体" w:eastAsia="宋体" w:cs="宋体"/>
        </w:rPr>
      </w:pPr>
      <w:r>
        <w:rPr>
          <w:rFonts w:hint="eastAsia" w:ascii="宋体" w:hAnsi="宋体" w:eastAsia="宋体" w:cs="宋体"/>
          <w:shd w:val="clear" w:color="auto" w:fill="FFFFFF"/>
        </w:rPr>
        <w:t>8.2评标将进行全程实时录音录像，录音录像资料随采购文件一并存档。</w:t>
      </w:r>
    </w:p>
    <w:p w14:paraId="017E8630">
      <w:pPr>
        <w:pStyle w:val="18"/>
        <w:widowControl/>
        <w:shd w:val="clear" w:color="auto" w:fill="FFFFFF"/>
        <w:spacing w:beforeAutospacing="0" w:afterAutospacing="0" w:line="480" w:lineRule="atLeast"/>
        <w:ind w:firstLine="420"/>
        <w:jc w:val="both"/>
        <w:rPr>
          <w:rFonts w:hint="eastAsia" w:ascii="宋体" w:hAnsi="宋体" w:eastAsia="宋体" w:cs="宋体"/>
        </w:rPr>
      </w:pPr>
      <w:r>
        <w:rPr>
          <w:rFonts w:hint="eastAsia" w:ascii="宋体" w:hAnsi="宋体" w:eastAsia="宋体" w:cs="宋体"/>
          <w:shd w:val="clear" w:color="auto" w:fill="FFFFFF"/>
        </w:rPr>
        <w:t>8.3若投标人有任何试图干扰具体评标事务，影响评标委员会独立履行职责的行为，其</w:t>
      </w:r>
      <w:r>
        <w:rPr>
          <w:rFonts w:hint="eastAsia" w:ascii="宋体" w:hAnsi="宋体" w:eastAsia="宋体" w:cs="宋体"/>
          <w:b/>
          <w:bCs/>
          <w:shd w:val="clear" w:color="auto" w:fill="FFFFFF"/>
        </w:rPr>
        <w:t>投标无效</w:t>
      </w:r>
      <w:r>
        <w:rPr>
          <w:rFonts w:hint="eastAsia" w:ascii="宋体" w:hAnsi="宋体" w:eastAsia="宋体" w:cs="宋体"/>
          <w:shd w:val="clear" w:color="auto" w:fill="FFFFFF"/>
        </w:rPr>
        <w:t>且不予退还投标保证金。情节严重的，由财政部门列入不良行为记录。</w:t>
      </w:r>
    </w:p>
    <w:p w14:paraId="7F2C52CE">
      <w:pPr>
        <w:pStyle w:val="18"/>
        <w:widowControl/>
        <w:shd w:val="clear" w:color="auto" w:fill="FFFFFF"/>
        <w:spacing w:beforeAutospacing="0" w:afterAutospacing="0" w:line="480" w:lineRule="atLeast"/>
        <w:ind w:firstLine="420"/>
        <w:jc w:val="both"/>
        <w:rPr>
          <w:rFonts w:hint="eastAsia" w:ascii="宋体" w:hAnsi="宋体" w:eastAsia="宋体" w:cs="宋体"/>
        </w:rPr>
      </w:pPr>
      <w:r>
        <w:rPr>
          <w:rFonts w:hint="eastAsia" w:ascii="宋体" w:hAnsi="宋体" w:eastAsia="宋体" w:cs="宋体"/>
          <w:shd w:val="clear" w:color="auto" w:fill="FFFFFF"/>
        </w:rPr>
        <w:t>8.4其他：无。</w:t>
      </w:r>
    </w:p>
    <w:p w14:paraId="19FD909F">
      <w:pPr>
        <w:rPr>
          <w:rFonts w:hint="eastAsia" w:ascii="宋体" w:hAnsi="宋体" w:eastAsia="宋体" w:cs="宋体"/>
          <w:b/>
          <w:bCs/>
          <w:color w:val="333333"/>
          <w:sz w:val="24"/>
          <w:shd w:val="clear" w:color="auto" w:fill="FFFFFF"/>
        </w:rPr>
      </w:pPr>
      <w:r>
        <w:rPr>
          <w:rFonts w:hint="eastAsia" w:ascii="宋体" w:hAnsi="宋体" w:eastAsia="宋体" w:cs="宋体"/>
          <w:b/>
          <w:bCs/>
          <w:color w:val="333333"/>
          <w:sz w:val="24"/>
          <w:shd w:val="clear" w:color="auto" w:fill="FFFFFF"/>
        </w:rPr>
        <w:br w:type="page"/>
      </w:r>
    </w:p>
    <w:p w14:paraId="1206B521">
      <w:pPr>
        <w:widowControl/>
        <w:shd w:val="clear" w:color="auto" w:fill="FFFFFF"/>
        <w:jc w:val="center"/>
        <w:outlineLvl w:val="0"/>
        <w:rPr>
          <w:rStyle w:val="26"/>
          <w:rFonts w:hint="eastAsia" w:ascii="宋体" w:hAnsi="宋体" w:eastAsia="宋体" w:cs="宋体"/>
          <w:bCs/>
          <w:color w:val="000000"/>
          <w:kern w:val="0"/>
          <w:sz w:val="32"/>
          <w:szCs w:val="32"/>
          <w:lang w:bidi="ar"/>
        </w:rPr>
      </w:pPr>
      <w:bookmarkStart w:id="33" w:name="_Toc32496"/>
      <w:r>
        <w:rPr>
          <w:rStyle w:val="26"/>
          <w:rFonts w:hint="eastAsia" w:ascii="宋体" w:hAnsi="宋体" w:eastAsia="宋体" w:cs="宋体"/>
          <w:bCs/>
          <w:color w:val="000000"/>
          <w:kern w:val="0"/>
          <w:sz w:val="32"/>
          <w:szCs w:val="32"/>
          <w:lang w:bidi="ar"/>
        </w:rPr>
        <w:t>第五章 招标内容及要求</w:t>
      </w:r>
      <w:bookmarkEnd w:id="33"/>
    </w:p>
    <w:p w14:paraId="664D65BE">
      <w:pPr>
        <w:pStyle w:val="18"/>
        <w:widowControl/>
        <w:snapToGrid w:val="0"/>
        <w:spacing w:beforeAutospacing="0" w:afterAutospacing="0" w:line="360" w:lineRule="auto"/>
        <w:outlineLvl w:val="1"/>
        <w:rPr>
          <w:rFonts w:ascii="Times New Roman"/>
          <w:kern w:val="2"/>
        </w:rPr>
      </w:pPr>
      <w:bookmarkStart w:id="34" w:name="_Toc9516"/>
      <w:r>
        <w:rPr>
          <w:rFonts w:hint="eastAsia" w:ascii="宋体" w:hAnsi="宋体" w:eastAsia="宋体" w:cs="宋体"/>
          <w:b/>
          <w:bCs/>
          <w:color w:val="000000"/>
        </w:rPr>
        <w:t>一、项目概况（采购标的）</w:t>
      </w:r>
      <w:bookmarkEnd w:id="34"/>
    </w:p>
    <w:p w14:paraId="3E22C6E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本采购项目为</w:t>
      </w:r>
      <w:r>
        <w:rPr>
          <w:rFonts w:hint="eastAsia" w:ascii="宋体" w:hAnsi="宋体" w:eastAsia="宋体" w:cs="宋体"/>
          <w:sz w:val="24"/>
          <w:lang w:eastAsia="zh-CN"/>
        </w:rPr>
        <w:t>福建省厦门监狱入监、出监积分学习集成系统采购项目，</w:t>
      </w:r>
      <w:r>
        <w:rPr>
          <w:rFonts w:hint="eastAsia" w:ascii="宋体" w:hAnsi="宋体" w:eastAsia="宋体" w:cs="宋体"/>
          <w:sz w:val="24"/>
        </w:rPr>
        <w:t>预算</w:t>
      </w:r>
      <w:r>
        <w:rPr>
          <w:rFonts w:hint="eastAsia" w:ascii="宋体" w:hAnsi="宋体" w:eastAsia="宋体" w:cs="宋体"/>
          <w:sz w:val="24"/>
          <w:lang w:eastAsia="zh-CN"/>
        </w:rPr>
        <w:t>总</w:t>
      </w:r>
      <w:r>
        <w:rPr>
          <w:rFonts w:hint="eastAsia" w:ascii="宋体" w:hAnsi="宋体" w:eastAsia="宋体" w:cs="宋体"/>
          <w:sz w:val="24"/>
        </w:rPr>
        <w:t>金额为</w:t>
      </w:r>
      <w:r>
        <w:rPr>
          <w:rFonts w:hint="eastAsia" w:ascii="宋体" w:hAnsi="宋体" w:eastAsia="宋体" w:cs="宋体"/>
          <w:sz w:val="24"/>
          <w:lang w:val="en-US" w:eastAsia="zh-CN"/>
        </w:rPr>
        <w:t>61.1</w:t>
      </w:r>
      <w:r>
        <w:rPr>
          <w:rFonts w:hint="eastAsia" w:ascii="宋体" w:hAnsi="宋体" w:eastAsia="宋体" w:cs="宋体"/>
          <w:sz w:val="24"/>
        </w:rPr>
        <w:t>万元。</w:t>
      </w:r>
    </w:p>
    <w:p w14:paraId="3E85FAE3">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2、</w:t>
      </w:r>
      <w:r>
        <w:rPr>
          <w:rFonts w:ascii="Segoe UI" w:hAnsi="Segoe UI" w:eastAsia="Segoe UI" w:cs="Segoe UI"/>
          <w:i w:val="0"/>
          <w:iCs w:val="0"/>
          <w:caps w:val="0"/>
          <w:color w:val="0F1115"/>
          <w:spacing w:val="0"/>
          <w:sz w:val="24"/>
          <w:szCs w:val="24"/>
          <w:shd w:val="clear" w:fill="FFFFFF"/>
        </w:rPr>
        <w:t>投标人应根据本招标文件提出的技术要求、服务范围及功能需求，对包括软件开发、硬件设备、系统集成、安装调试、人员培训、售后服务、</w:t>
      </w:r>
      <w:r>
        <w:rPr>
          <w:rFonts w:hint="eastAsia" w:ascii="Segoe UI" w:hAnsi="Segoe UI" w:eastAsia="宋体" w:cs="Segoe UI"/>
          <w:i w:val="0"/>
          <w:iCs w:val="0"/>
          <w:caps w:val="0"/>
          <w:color w:val="0F1115"/>
          <w:spacing w:val="0"/>
          <w:sz w:val="24"/>
          <w:szCs w:val="24"/>
          <w:shd w:val="clear" w:fill="FFFFFF"/>
          <w:lang w:eastAsia="zh-CN"/>
        </w:rPr>
        <w:t>质保期</w:t>
      </w:r>
      <w:r>
        <w:rPr>
          <w:rFonts w:ascii="Segoe UI" w:hAnsi="Segoe UI" w:eastAsia="Segoe UI" w:cs="Segoe UI"/>
          <w:i w:val="0"/>
          <w:iCs w:val="0"/>
          <w:caps w:val="0"/>
          <w:color w:val="0F1115"/>
          <w:spacing w:val="0"/>
          <w:sz w:val="24"/>
          <w:szCs w:val="24"/>
          <w:shd w:val="clear" w:fill="FFFFFF"/>
        </w:rPr>
        <w:t>内支持等全部内容进行整体报价。报价须包含为完成本项目所发生的一切费用，如软件设计开发费、硬件购置费、运输保险费、安装调试费、系统集成费、培训费、税费、质保期维护费及其他可能产生的成本。项目实施过程中，如因投标人漏报、缺项所产生的费用均由中标人承担，采购人不再另行支付；若因采购人需求变更或新增内容导致费用增加，双方可另行协商。投标总报价不得超过本项目最高限价（即61.1万元），否则按无效</w:t>
      </w:r>
      <w:r>
        <w:rPr>
          <w:rFonts w:hint="eastAsia" w:ascii="Segoe UI" w:hAnsi="Segoe UI" w:eastAsia="宋体" w:cs="Segoe UI"/>
          <w:i w:val="0"/>
          <w:iCs w:val="0"/>
          <w:caps w:val="0"/>
          <w:color w:val="0F1115"/>
          <w:spacing w:val="0"/>
          <w:sz w:val="24"/>
          <w:szCs w:val="24"/>
          <w:shd w:val="clear" w:fill="FFFFFF"/>
          <w:lang w:val="en-US" w:eastAsia="zh-CN"/>
        </w:rPr>
        <w:t>投标</w:t>
      </w:r>
      <w:r>
        <w:rPr>
          <w:rFonts w:ascii="Segoe UI" w:hAnsi="Segoe UI" w:eastAsia="Segoe UI" w:cs="Segoe UI"/>
          <w:i w:val="0"/>
          <w:iCs w:val="0"/>
          <w:caps w:val="0"/>
          <w:color w:val="0F1115"/>
          <w:spacing w:val="0"/>
          <w:sz w:val="24"/>
          <w:szCs w:val="24"/>
          <w:shd w:val="clear" w:fill="FFFFFF"/>
        </w:rPr>
        <w:t>处理</w:t>
      </w:r>
      <w:r>
        <w:rPr>
          <w:rFonts w:hint="eastAsia" w:ascii="宋体" w:hAnsi="宋体" w:eastAsia="宋体" w:cs="宋体"/>
          <w:sz w:val="24"/>
          <w:lang w:val="en-US" w:eastAsia="zh-CN"/>
        </w:rPr>
        <w:t>。</w:t>
      </w:r>
    </w:p>
    <w:p w14:paraId="73BE9B81">
      <w:pPr>
        <w:numPr>
          <w:ilvl w:val="-1"/>
          <w:numId w:val="0"/>
        </w:numPr>
        <w:bidi w:val="0"/>
        <w:spacing w:line="360" w:lineRule="auto"/>
        <w:ind w:left="0" w:leftChars="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开发建设一套集课程学习、考试管理、积分激励、行为监控、数据分析等功能于一体的出监教育数字化系统，包括软件平台、硬件设备及系统集成服务。通过民警电脑管理端对学员一百台用户端进行管理，用户端取消WIFI和USB接口的约11英寸平板电脑端及配套定制100人使用的有固定充电支架的学习桌椅。通过平板电脑让临出监学员以观看视频形式学习出监教育必修课程及适应回归社会提升就业的选修课程，完成随机题库测试，获取积分换物质奖励，娱乐游戏，观看电影等激励奖励，民警后台可对临释放人员根据不同释放时间段进行分期教学，通过后台可调取所有出监学员的学习情况，考试情况，日常学习，可生成学员的出监学习报告。所有临出监</w:t>
      </w:r>
      <w:r>
        <w:rPr>
          <w:rFonts w:hint="eastAsia" w:ascii="宋体" w:hAnsi="宋体" w:eastAsia="宋体" w:cs="宋体"/>
          <w:b/>
          <w:bCs/>
          <w:sz w:val="24"/>
          <w:lang w:val="en-US" w:eastAsia="zh-CN"/>
        </w:rPr>
        <w:t>学员</w:t>
      </w:r>
      <w:r>
        <w:rPr>
          <w:rFonts w:hint="eastAsia" w:ascii="宋体" w:hAnsi="宋体" w:eastAsia="宋体" w:cs="宋体"/>
          <w:sz w:val="24"/>
          <w:highlight w:val="none"/>
          <w:lang w:val="en-US" w:eastAsia="zh-CN"/>
        </w:rPr>
        <w:t>教育学习情况需存档五年备查。</w:t>
      </w:r>
    </w:p>
    <w:p w14:paraId="397724C2">
      <w:pPr>
        <w:numPr>
          <w:ilvl w:val="0"/>
          <w:numId w:val="0"/>
        </w:numPr>
        <w:spacing w:line="400" w:lineRule="exact"/>
        <w:ind w:firstLine="480" w:firstLineChars="20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w:t>
      </w:r>
      <w:r>
        <w:rPr>
          <w:rFonts w:hint="eastAsia" w:ascii="宋体" w:hAnsi="宋体" w:eastAsia="宋体" w:cs="宋体"/>
          <w:b w:val="0"/>
          <w:bCs/>
          <w:color w:val="auto"/>
          <w:kern w:val="0"/>
          <w:sz w:val="24"/>
          <w:szCs w:val="24"/>
          <w:highlight w:val="none"/>
        </w:rPr>
        <w:t>施工约束：本项目大部分安装现场在</w:t>
      </w:r>
      <w:r>
        <w:rPr>
          <w:rFonts w:hint="eastAsia" w:ascii="宋体" w:hAnsi="宋体" w:eastAsia="宋体" w:cs="宋体"/>
          <w:b w:val="0"/>
          <w:bCs/>
          <w:color w:val="auto"/>
          <w:kern w:val="0"/>
          <w:sz w:val="24"/>
          <w:szCs w:val="24"/>
          <w:highlight w:val="none"/>
          <w:lang w:val="en-US" w:eastAsia="zh-CN"/>
        </w:rPr>
        <w:t>监管区</w:t>
      </w:r>
      <w:r>
        <w:rPr>
          <w:rFonts w:hint="eastAsia" w:ascii="宋体" w:hAnsi="宋体" w:eastAsia="宋体" w:cs="宋体"/>
          <w:b w:val="0"/>
          <w:bCs/>
          <w:color w:val="auto"/>
          <w:kern w:val="0"/>
          <w:sz w:val="24"/>
          <w:szCs w:val="24"/>
          <w:highlight w:val="none"/>
        </w:rPr>
        <w:t>内，存在不确定因素（如作业人员、车辆、工具设备</w:t>
      </w:r>
      <w:r>
        <w:rPr>
          <w:rFonts w:hint="eastAsia" w:ascii="宋体" w:hAnsi="宋体" w:eastAsia="宋体" w:cs="宋体"/>
          <w:b w:val="0"/>
          <w:bCs w:val="0"/>
          <w:color w:val="auto"/>
          <w:kern w:val="0"/>
          <w:sz w:val="24"/>
          <w:szCs w:val="24"/>
          <w:highlight w:val="none"/>
        </w:rPr>
        <w:t>进出手续较为繁琐，需要相关管理人员进行身份确认，遵守相关安检规定；安装作业时间有限制，</w:t>
      </w:r>
      <w:r>
        <w:rPr>
          <w:rFonts w:hint="eastAsia" w:ascii="宋体" w:hAnsi="宋体" w:eastAsia="宋体" w:cs="宋体"/>
          <w:b w:val="0"/>
          <w:bCs/>
          <w:color w:val="auto"/>
          <w:kern w:val="0"/>
          <w:sz w:val="24"/>
          <w:szCs w:val="24"/>
          <w:highlight w:val="none"/>
          <w:lang w:val="en-US" w:eastAsia="zh-CN"/>
        </w:rPr>
        <w:t>监管区</w:t>
      </w:r>
      <w:r>
        <w:rPr>
          <w:rFonts w:hint="eastAsia" w:ascii="宋体" w:hAnsi="宋体" w:eastAsia="宋体" w:cs="宋体"/>
          <w:b w:val="0"/>
          <w:bCs w:val="0"/>
          <w:color w:val="auto"/>
          <w:kern w:val="0"/>
          <w:sz w:val="24"/>
          <w:szCs w:val="24"/>
          <w:highlight w:val="none"/>
        </w:rPr>
        <w:t>内每日有效施工时长通常不超过</w:t>
      </w:r>
      <w:r>
        <w:rPr>
          <w:rFonts w:hint="eastAsia" w:ascii="宋体" w:hAnsi="宋体" w:eastAsia="宋体" w:cs="宋体"/>
          <w:b w:val="0"/>
          <w:bCs w:val="0"/>
          <w:color w:val="auto"/>
          <w:kern w:val="0"/>
          <w:sz w:val="24"/>
          <w:szCs w:val="24"/>
          <w:highlight w:val="none"/>
          <w:lang w:val="en-US" w:eastAsia="zh-CN"/>
        </w:rPr>
        <w:t>4.5</w:t>
      </w:r>
      <w:r>
        <w:rPr>
          <w:rFonts w:hint="eastAsia" w:ascii="宋体" w:hAnsi="宋体" w:eastAsia="宋体" w:cs="宋体"/>
          <w:b w:val="0"/>
          <w:bCs w:val="0"/>
          <w:color w:val="auto"/>
          <w:kern w:val="0"/>
          <w:sz w:val="24"/>
          <w:szCs w:val="24"/>
          <w:highlight w:val="none"/>
        </w:rPr>
        <w:t>个小时；</w:t>
      </w:r>
      <w:r>
        <w:rPr>
          <w:rFonts w:hint="eastAsia" w:ascii="宋体" w:hAnsi="宋体" w:eastAsia="宋体" w:cs="宋体"/>
          <w:b/>
          <w:bCs/>
          <w:color w:val="auto"/>
          <w:kern w:val="0"/>
          <w:sz w:val="24"/>
          <w:szCs w:val="24"/>
          <w:highlight w:val="none"/>
          <w:lang w:val="en-US" w:eastAsia="zh-CN"/>
        </w:rPr>
        <w:t>投标人拟派</w:t>
      </w:r>
      <w:r>
        <w:rPr>
          <w:rFonts w:hint="eastAsia" w:ascii="宋体" w:hAnsi="宋体" w:eastAsia="宋体" w:cs="宋体"/>
          <w:b/>
          <w:bCs/>
          <w:color w:val="auto"/>
          <w:kern w:val="0"/>
          <w:sz w:val="24"/>
          <w:szCs w:val="24"/>
          <w:highlight w:val="none"/>
        </w:rPr>
        <w:t>工作人员</w:t>
      </w:r>
      <w:r>
        <w:rPr>
          <w:rFonts w:hint="eastAsia" w:ascii="宋体" w:hAnsi="宋体" w:eastAsia="宋体" w:cs="宋体"/>
          <w:b/>
          <w:bCs/>
          <w:color w:val="auto"/>
          <w:kern w:val="0"/>
          <w:sz w:val="24"/>
          <w:szCs w:val="24"/>
          <w:highlight w:val="none"/>
          <w:lang w:val="en-US" w:eastAsia="zh-CN"/>
        </w:rPr>
        <w:t>应为男性</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进入</w:t>
      </w:r>
      <w:r>
        <w:rPr>
          <w:rFonts w:hint="eastAsia" w:ascii="宋体" w:hAnsi="宋体" w:eastAsia="宋体" w:cs="宋体"/>
          <w:b w:val="0"/>
          <w:bCs/>
          <w:color w:val="auto"/>
          <w:kern w:val="0"/>
          <w:sz w:val="24"/>
          <w:szCs w:val="24"/>
          <w:highlight w:val="none"/>
          <w:lang w:val="en-US" w:eastAsia="zh-CN"/>
        </w:rPr>
        <w:t>监管区</w:t>
      </w:r>
      <w:r>
        <w:rPr>
          <w:rFonts w:hint="eastAsia" w:ascii="宋体" w:hAnsi="宋体" w:eastAsia="宋体" w:cs="宋体"/>
          <w:b w:val="0"/>
          <w:bCs/>
          <w:color w:val="auto"/>
          <w:kern w:val="0"/>
          <w:sz w:val="24"/>
          <w:szCs w:val="24"/>
          <w:highlight w:val="none"/>
        </w:rPr>
        <w:t>内</w:t>
      </w:r>
      <w:r>
        <w:rPr>
          <w:rFonts w:hint="eastAsia" w:ascii="宋体" w:hAnsi="宋体" w:eastAsia="宋体" w:cs="宋体"/>
          <w:b w:val="0"/>
          <w:bCs w:val="0"/>
          <w:color w:val="auto"/>
          <w:kern w:val="0"/>
          <w:sz w:val="24"/>
          <w:szCs w:val="24"/>
          <w:highlight w:val="none"/>
        </w:rPr>
        <w:t>时不得违规携带香烟、打火机、钱包、手机、电子通信工具等违禁品），</w:t>
      </w: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kern w:val="0"/>
          <w:sz w:val="24"/>
          <w:szCs w:val="24"/>
          <w:highlight w:val="none"/>
        </w:rPr>
        <w:t>应根据自身能力、人工成本、安装经验等情况综合考虑，在认真测算自身成本和费用的基础上，</w:t>
      </w:r>
      <w:r>
        <w:rPr>
          <w:rFonts w:hint="eastAsia" w:ascii="宋体" w:hAnsi="宋体" w:eastAsia="宋体" w:cs="宋体"/>
          <w:b w:val="0"/>
          <w:bCs w:val="0"/>
          <w:color w:val="auto"/>
          <w:kern w:val="0"/>
          <w:sz w:val="24"/>
          <w:szCs w:val="24"/>
          <w:highlight w:val="none"/>
          <w:lang w:eastAsia="zh-CN"/>
        </w:rPr>
        <w:t>综合权衡，</w:t>
      </w:r>
      <w:r>
        <w:rPr>
          <w:rFonts w:hint="eastAsia" w:ascii="宋体" w:hAnsi="宋体" w:eastAsia="宋体" w:cs="宋体"/>
          <w:b w:val="0"/>
          <w:bCs w:val="0"/>
          <w:color w:val="auto"/>
          <w:kern w:val="0"/>
          <w:sz w:val="24"/>
          <w:szCs w:val="24"/>
          <w:highlight w:val="none"/>
        </w:rPr>
        <w:t>合理报价</w:t>
      </w:r>
      <w:r>
        <w:rPr>
          <w:rFonts w:hint="eastAsia" w:ascii="宋体" w:hAnsi="宋体" w:eastAsia="宋体" w:cs="宋体"/>
          <w:b w:val="0"/>
          <w:bCs w:val="0"/>
          <w:color w:val="auto"/>
          <w:kern w:val="0"/>
          <w:sz w:val="24"/>
          <w:szCs w:val="24"/>
          <w:highlight w:val="none"/>
          <w:lang w:eastAsia="zh-CN"/>
        </w:rPr>
        <w:t>。</w:t>
      </w:r>
    </w:p>
    <w:p w14:paraId="5F5BF7F4">
      <w:pPr>
        <w:numPr>
          <w:ilvl w:val="-1"/>
          <w:numId w:val="0"/>
        </w:numPr>
        <w:bidi w:val="0"/>
        <w:spacing w:line="360" w:lineRule="auto"/>
        <w:ind w:left="0" w:leftChars="0" w:firstLine="480" w:firstLineChars="200"/>
        <w:rPr>
          <w:rFonts w:hint="eastAsia" w:ascii="宋体" w:hAnsi="宋体" w:eastAsia="宋体" w:cs="宋体"/>
          <w:sz w:val="24"/>
          <w:highlight w:val="none"/>
          <w:lang w:val="en-US" w:eastAsia="zh-CN"/>
        </w:rPr>
      </w:pPr>
    </w:p>
    <w:p w14:paraId="1D00603D">
      <w:pPr>
        <w:outlineLvl w:val="1"/>
        <w:rPr>
          <w:rFonts w:hint="eastAsia" w:ascii="宋体" w:hAnsi="宋体" w:eastAsia="宋体" w:cs="宋体"/>
          <w:b/>
          <w:bCs/>
          <w:color w:val="000000"/>
          <w:sz w:val="24"/>
        </w:rPr>
      </w:pPr>
      <w:bookmarkStart w:id="35" w:name="_Toc11282"/>
    </w:p>
    <w:p w14:paraId="75B11432">
      <w:pPr>
        <w:outlineLvl w:val="1"/>
        <w:rPr>
          <w:rFonts w:hint="eastAsia" w:ascii="宋体" w:hAnsi="宋体" w:eastAsia="宋体" w:cs="宋体"/>
          <w:b/>
          <w:bCs/>
          <w:color w:val="333333"/>
          <w:szCs w:val="21"/>
          <w:shd w:val="clear" w:color="auto" w:fill="FFFFFF"/>
        </w:rPr>
      </w:pPr>
      <w:r>
        <w:rPr>
          <w:rFonts w:hint="eastAsia" w:ascii="宋体" w:hAnsi="宋体" w:eastAsia="宋体" w:cs="宋体"/>
          <w:b/>
          <w:bCs/>
          <w:color w:val="000000"/>
          <w:sz w:val="24"/>
        </w:rPr>
        <w:t>二、技术和服务要求（以“★”标示的内容为不允许负偏离的实质性要求）</w:t>
      </w:r>
      <w:bookmarkEnd w:id="35"/>
    </w:p>
    <w:p w14:paraId="14FC411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（一）软件系统功能要求</w:t>
      </w:r>
      <w:r>
        <w:rPr>
          <w:rFonts w:hint="eastAsia" w:ascii="宋体" w:hAnsi="宋体" w:eastAsia="宋体" w:cs="宋体"/>
          <w:sz w:val="24"/>
          <w:lang w:val="en-US" w:eastAsia="zh-CN"/>
        </w:rPr>
        <w:tab/>
      </w:r>
    </w:p>
    <w:p w14:paraId="21E5FBE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1、民警管理端：</w:t>
      </w:r>
      <w:r>
        <w:rPr>
          <w:rFonts w:hint="eastAsia" w:ascii="宋体" w:hAnsi="宋体" w:eastAsia="宋体" w:cs="宋体"/>
          <w:sz w:val="24"/>
          <w:lang w:val="en-US" w:eastAsia="zh-CN"/>
        </w:rPr>
        <w:tab/>
      </w:r>
    </w:p>
    <w:p w14:paraId="41535A7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支持学员信息管理、课程体系管理、学习进度监控、考试管理、积分商城管理、报表生成等功能。</w:t>
      </w:r>
      <w:r>
        <w:rPr>
          <w:rFonts w:hint="eastAsia" w:ascii="宋体" w:hAnsi="宋体" w:eastAsia="宋体" w:cs="宋体"/>
          <w:sz w:val="24"/>
          <w:lang w:val="en-US" w:eastAsia="zh-CN"/>
        </w:rPr>
        <w:tab/>
      </w:r>
      <w:r>
        <w:rPr>
          <w:rFonts w:hint="eastAsia" w:ascii="宋体" w:hAnsi="宋体" w:eastAsia="宋体" w:cs="宋体"/>
          <w:sz w:val="24"/>
          <w:lang w:val="en-US" w:eastAsia="zh-CN"/>
        </w:rPr>
        <w:tab/>
      </w:r>
    </w:p>
    <w:p w14:paraId="43B0E38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2、学员学习端：</w:t>
      </w:r>
      <w:r>
        <w:rPr>
          <w:rFonts w:hint="eastAsia" w:ascii="宋体" w:hAnsi="宋体" w:eastAsia="宋体" w:cs="宋体"/>
          <w:sz w:val="24"/>
          <w:lang w:val="en-US" w:eastAsia="zh-CN"/>
        </w:rPr>
        <w:tab/>
      </w:r>
    </w:p>
    <w:p w14:paraId="318AA5A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支持账号密码登录，界面简洁易用。</w:t>
      </w:r>
      <w:r>
        <w:rPr>
          <w:rFonts w:hint="eastAsia" w:ascii="宋体" w:hAnsi="宋体" w:eastAsia="宋体" w:cs="宋体"/>
          <w:sz w:val="24"/>
          <w:lang w:val="en-US" w:eastAsia="zh-CN"/>
        </w:rPr>
        <w:tab/>
      </w:r>
    </w:p>
    <w:p w14:paraId="57226A3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支持离线学习、考试、积分查询与兑换、文件接收等功能。</w:t>
      </w:r>
      <w:r>
        <w:rPr>
          <w:rFonts w:hint="eastAsia" w:ascii="宋体" w:hAnsi="宋体" w:eastAsia="宋体" w:cs="宋体"/>
          <w:sz w:val="24"/>
          <w:lang w:val="en-US" w:eastAsia="zh-CN"/>
        </w:rPr>
        <w:tab/>
      </w:r>
    </w:p>
    <w:p w14:paraId="69FB2AC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学习记录、考试成绩、积分明细本地加密存储，支持增量同步。</w:t>
      </w:r>
      <w:r>
        <w:rPr>
          <w:rFonts w:hint="eastAsia" w:ascii="宋体" w:hAnsi="宋体" w:eastAsia="宋体" w:cs="宋体"/>
          <w:sz w:val="24"/>
          <w:lang w:val="en-US" w:eastAsia="zh-CN"/>
        </w:rPr>
        <w:tab/>
      </w:r>
    </w:p>
    <w:p w14:paraId="48296CB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3、系统安全要求：</w:t>
      </w:r>
      <w:r>
        <w:rPr>
          <w:rFonts w:hint="eastAsia" w:ascii="宋体" w:hAnsi="宋体" w:eastAsia="宋体" w:cs="宋体"/>
          <w:sz w:val="24"/>
          <w:lang w:val="en-US" w:eastAsia="zh-CN"/>
        </w:rPr>
        <w:tab/>
      </w:r>
    </w:p>
    <w:p w14:paraId="2E49749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系统需部署于监狱内网，与互联网物理隔离。</w:t>
      </w:r>
      <w:r>
        <w:rPr>
          <w:rFonts w:hint="eastAsia" w:ascii="宋体" w:hAnsi="宋体" w:eastAsia="宋体" w:cs="宋体"/>
          <w:sz w:val="24"/>
          <w:lang w:val="en-US" w:eastAsia="zh-CN"/>
        </w:rPr>
        <w:tab/>
      </w:r>
    </w:p>
    <w:p w14:paraId="7A9B671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数据传输与存储需采用市场主流加密算法。</w:t>
      </w:r>
      <w:r>
        <w:rPr>
          <w:rFonts w:hint="eastAsia" w:ascii="宋体" w:hAnsi="宋体" w:eastAsia="宋体" w:cs="宋体"/>
          <w:sz w:val="24"/>
          <w:lang w:val="en-US" w:eastAsia="zh-CN"/>
        </w:rPr>
        <w:tab/>
      </w:r>
    </w:p>
    <w:p w14:paraId="258B84B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学员端应用需运行于沙盒环境，禁止安装第三方应用、禁用Wi-Fi与USB接口，且要支持动态密码登录。（详细请参考功能清单一览表。）</w:t>
      </w:r>
      <w:r>
        <w:rPr>
          <w:rFonts w:hint="eastAsia" w:ascii="宋体" w:hAnsi="宋体" w:eastAsia="宋体" w:cs="宋体"/>
          <w:sz w:val="24"/>
          <w:lang w:val="en-US" w:eastAsia="zh-CN"/>
        </w:rPr>
        <w:tab/>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7"/>
        <w:gridCol w:w="1728"/>
        <w:gridCol w:w="3238"/>
        <w:gridCol w:w="3451"/>
      </w:tblGrid>
      <w:tr w14:paraId="4C02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nil"/>
              <w:left w:val="nil"/>
              <w:bottom w:val="single" w:color="000000" w:sz="4" w:space="0"/>
              <w:right w:val="nil"/>
            </w:tcBorders>
            <w:shd w:val="clear" w:color="auto" w:fill="FFFFFF"/>
            <w:noWrap/>
            <w:vAlign w:val="center"/>
          </w:tcPr>
          <w:p w14:paraId="66BC0C38">
            <w:pPr>
              <w:keepNext w:val="0"/>
              <w:keepLines w:val="0"/>
              <w:widowControl/>
              <w:suppressLineNumbers w:val="0"/>
              <w:jc w:val="left"/>
              <w:textAlignment w:val="center"/>
              <w:rPr>
                <w:rFonts w:hint="eastAsia" w:ascii="宋体" w:hAnsi="宋体" w:eastAsia="宋体" w:cs="宋体"/>
                <w:b/>
                <w:bCs/>
                <w:i/>
                <w:iCs/>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功能清单</w:t>
            </w:r>
            <w:r>
              <w:rPr>
                <w:rFonts w:hint="eastAsia" w:ascii="宋体" w:hAnsi="宋体" w:eastAsia="宋体" w:cs="宋体"/>
                <w:b/>
                <w:bCs/>
                <w:sz w:val="24"/>
                <w:lang w:val="en-US" w:eastAsia="zh-CN"/>
              </w:rPr>
              <w:t>一览表</w:t>
            </w:r>
          </w:p>
        </w:tc>
      </w:tr>
      <w:tr w14:paraId="6653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118A0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No</w:t>
            </w:r>
          </w:p>
        </w:tc>
        <w:tc>
          <w:tcPr>
            <w:tcW w:w="87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23851B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分类</w:t>
            </w:r>
          </w:p>
        </w:tc>
        <w:tc>
          <w:tcPr>
            <w:tcW w:w="164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0057A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一级模块</w:t>
            </w:r>
          </w:p>
        </w:tc>
        <w:tc>
          <w:tcPr>
            <w:tcW w:w="1749"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81521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二级模块</w:t>
            </w:r>
          </w:p>
        </w:tc>
      </w:tr>
      <w:tr w14:paraId="2A7D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C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7" w:type="pct"/>
            <w:vMerge w:val="restart"/>
            <w:tcBorders>
              <w:top w:val="single" w:color="000000" w:sz="4" w:space="0"/>
              <w:left w:val="single" w:color="000000" w:sz="4" w:space="0"/>
              <w:bottom w:val="nil"/>
              <w:right w:val="single" w:color="000000" w:sz="4" w:space="0"/>
            </w:tcBorders>
            <w:shd w:val="clear" w:color="auto" w:fill="auto"/>
            <w:vAlign w:val="center"/>
          </w:tcPr>
          <w:p w14:paraId="67BA9E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sz w:val="24"/>
                <w:lang w:val="en-US" w:eastAsia="zh-CN"/>
              </w:rPr>
              <w:t>民警管理端</w:t>
            </w: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30955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驾驶舱与看板</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4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数据总览</w:t>
            </w:r>
          </w:p>
        </w:tc>
      </w:tr>
      <w:tr w14:paraId="2725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3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45F81DD3">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1F12A1E6">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6F287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实时监控</w:t>
            </w:r>
          </w:p>
        </w:tc>
      </w:tr>
      <w:tr w14:paraId="56A1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F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35A17501">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50BE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课程体系管理</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7F269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课程库管理</w:t>
            </w:r>
          </w:p>
        </w:tc>
      </w:tr>
      <w:tr w14:paraId="7567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7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242EF4E4">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7F0BC0A8">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5DE89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 课程内容管理</w:t>
            </w:r>
          </w:p>
        </w:tc>
      </w:tr>
      <w:tr w14:paraId="0EDC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3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594CCEDE">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3E3ECF22">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51D43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课程下发</w:t>
            </w:r>
          </w:p>
        </w:tc>
      </w:tr>
      <w:tr w14:paraId="751E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B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0BD3982F">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37E39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学员与组织管理</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44AD7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学员信息管理</w:t>
            </w:r>
          </w:p>
        </w:tc>
      </w:tr>
      <w:tr w14:paraId="03AC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5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264CD9BE">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1037B819">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03F63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 学习分组</w:t>
            </w:r>
          </w:p>
        </w:tc>
      </w:tr>
      <w:tr w14:paraId="2CA5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3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48FB9471">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465E4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学习过程管理</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3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学习进度跟踪</w:t>
            </w:r>
          </w:p>
        </w:tc>
      </w:tr>
      <w:tr w14:paraId="3DC4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4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528E27D1">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5B22B6DC">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2780A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学习互动</w:t>
            </w:r>
          </w:p>
        </w:tc>
      </w:tr>
      <w:tr w14:paraId="5DBA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5C262D22">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4CD9BED6">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6E18E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 积分管理</w:t>
            </w:r>
          </w:p>
        </w:tc>
      </w:tr>
      <w:tr w14:paraId="0D51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5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7C5CDC25">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335D2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考试与评估管理</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3B4F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题库管理</w:t>
            </w:r>
          </w:p>
        </w:tc>
      </w:tr>
      <w:tr w14:paraId="3FC7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B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06162936">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6D42B08E">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6987F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 考试管理</w:t>
            </w:r>
          </w:p>
        </w:tc>
      </w:tr>
      <w:tr w14:paraId="63B4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6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69121B4B">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47EE1BB2">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7CFA2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 成绩管理</w:t>
            </w:r>
          </w:p>
        </w:tc>
      </w:tr>
      <w:tr w14:paraId="7AA1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8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0BFEC5A8">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55824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积分商城管理</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326F6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 商品管理</w:t>
            </w:r>
          </w:p>
        </w:tc>
      </w:tr>
      <w:tr w14:paraId="70B9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3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28676B98">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759AD30D">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6BC58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 兑换管理</w:t>
            </w:r>
          </w:p>
        </w:tc>
      </w:tr>
      <w:tr w14:paraId="1502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5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11F54FAB">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723E05C2">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1C3FB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 发放与履约</w:t>
            </w:r>
          </w:p>
        </w:tc>
      </w:tr>
      <w:tr w14:paraId="74C2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4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0B2B8EE4">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783EC906">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6AF0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 数据与报表</w:t>
            </w:r>
          </w:p>
        </w:tc>
      </w:tr>
      <w:tr w14:paraId="49D2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6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69575F55">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23FF9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报表与分析</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 标准报表</w:t>
            </w:r>
          </w:p>
        </w:tc>
      </w:tr>
      <w:tr w14:paraId="1F46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D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40B29283">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3842B3FB">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6B00B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 统计分析</w:t>
            </w:r>
          </w:p>
        </w:tc>
      </w:tr>
      <w:tr w14:paraId="2505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C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551A15B5">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BC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文件与通信</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5C364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文件发送</w:t>
            </w:r>
          </w:p>
        </w:tc>
      </w:tr>
      <w:tr w14:paraId="5304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F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37BC0B51">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6BCA">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6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 消息通信</w:t>
            </w:r>
          </w:p>
        </w:tc>
      </w:tr>
      <w:tr w14:paraId="23E4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147740B2">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2042C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系统与用户管理</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3411F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用户管理</w:t>
            </w:r>
          </w:p>
        </w:tc>
      </w:tr>
      <w:tr w14:paraId="2041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7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01CAB06B">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43BACBD7">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7E1FF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 系统设置</w:t>
            </w:r>
          </w:p>
        </w:tc>
      </w:tr>
      <w:tr w14:paraId="27AC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5000" w:type="pct"/>
            <w:gridSpan w:val="4"/>
            <w:tcBorders>
              <w:top w:val="nil"/>
              <w:left w:val="single" w:color="000000" w:sz="4" w:space="0"/>
              <w:bottom w:val="single" w:color="000000" w:sz="4" w:space="0"/>
              <w:right w:val="single" w:color="000000" w:sz="4" w:space="0"/>
            </w:tcBorders>
            <w:shd w:val="clear" w:color="auto" w:fill="BFBFBF"/>
            <w:vAlign w:val="center"/>
          </w:tcPr>
          <w:p w14:paraId="0569225C">
            <w:pPr>
              <w:jc w:val="center"/>
              <w:rPr>
                <w:rFonts w:hint="eastAsia" w:ascii="宋体" w:hAnsi="宋体" w:eastAsia="宋体" w:cs="宋体"/>
                <w:b/>
                <w:bCs/>
                <w:i/>
                <w:iCs/>
                <w:color w:val="000000"/>
                <w:sz w:val="24"/>
                <w:szCs w:val="24"/>
                <w:u w:val="none"/>
              </w:rPr>
            </w:pPr>
          </w:p>
        </w:tc>
      </w:tr>
      <w:tr w14:paraId="4DFE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0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48D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sz w:val="24"/>
                <w:lang w:val="en-US" w:eastAsia="zh-CN"/>
              </w:rPr>
              <w:t>学员学习端</w:t>
            </w:r>
          </w:p>
        </w:tc>
        <w:tc>
          <w:tcPr>
            <w:tcW w:w="1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2D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安全与准入</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A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身份认证</w:t>
            </w:r>
          </w:p>
        </w:tc>
      </w:tr>
      <w:tr w14:paraId="4F0E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4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8791">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670F">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F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安全退出</w:t>
            </w:r>
          </w:p>
        </w:tc>
      </w:tr>
      <w:tr w14:paraId="18EC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CA4A">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56B94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课程中心</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B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课程列表</w:t>
            </w:r>
          </w:p>
        </w:tc>
      </w:tr>
      <w:tr w14:paraId="1123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9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A1A1">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62B6C5DC">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1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 课程操作</w:t>
            </w:r>
          </w:p>
        </w:tc>
      </w:tr>
      <w:tr w14:paraId="10C3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E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4E87">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23B71ABA">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3CB20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学习界面</w:t>
            </w:r>
          </w:p>
        </w:tc>
      </w:tr>
      <w:tr w14:paraId="1E02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4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3D48">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72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考试中心</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1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考试列表</w:t>
            </w:r>
          </w:p>
        </w:tc>
      </w:tr>
      <w:tr w14:paraId="6880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5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8067">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FA5B">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276FE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 考试引擎</w:t>
            </w:r>
          </w:p>
        </w:tc>
      </w:tr>
      <w:tr w14:paraId="646F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1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3FD7">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FDD8">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5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 考后查询</w:t>
            </w:r>
          </w:p>
        </w:tc>
      </w:tr>
      <w:tr w14:paraId="6725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6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8312">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nil"/>
              <w:right w:val="single" w:color="000000" w:sz="4" w:space="0"/>
            </w:tcBorders>
            <w:shd w:val="clear" w:color="auto" w:fill="auto"/>
            <w:vAlign w:val="center"/>
          </w:tcPr>
          <w:p w14:paraId="632C8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积分系统</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积分获取与记录</w:t>
            </w:r>
          </w:p>
        </w:tc>
      </w:tr>
      <w:tr w14:paraId="232E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E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728C">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nil"/>
              <w:right w:val="single" w:color="000000" w:sz="4" w:space="0"/>
            </w:tcBorders>
            <w:shd w:val="clear" w:color="auto" w:fill="auto"/>
            <w:vAlign w:val="center"/>
          </w:tcPr>
          <w:p w14:paraId="36CA25A8">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0932E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积分应用</w:t>
            </w:r>
          </w:p>
        </w:tc>
      </w:tr>
      <w:tr w14:paraId="2C19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D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9452">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E3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个人与通信</w:t>
            </w:r>
          </w:p>
        </w:tc>
        <w:tc>
          <w:tcPr>
            <w:tcW w:w="1749" w:type="pct"/>
            <w:tcBorders>
              <w:top w:val="single" w:color="000000" w:sz="4" w:space="0"/>
              <w:left w:val="single" w:color="000000" w:sz="4" w:space="0"/>
              <w:bottom w:val="nil"/>
              <w:right w:val="single" w:color="000000" w:sz="4" w:space="0"/>
            </w:tcBorders>
            <w:shd w:val="clear" w:color="auto" w:fill="auto"/>
            <w:vAlign w:val="center"/>
          </w:tcPr>
          <w:p w14:paraId="1A746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文件接收</w:t>
            </w:r>
          </w:p>
        </w:tc>
      </w:tr>
      <w:tr w14:paraId="1B4B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4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E8F8">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C9B5">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F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 个人信息</w:t>
            </w:r>
          </w:p>
        </w:tc>
      </w:tr>
      <w:tr w14:paraId="5B77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B845">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C51C">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5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 消息中心</w:t>
            </w:r>
          </w:p>
        </w:tc>
      </w:tr>
      <w:tr w14:paraId="3C1A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2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EEA4">
            <w:pPr>
              <w:jc w:val="center"/>
              <w:rPr>
                <w:rFonts w:hint="eastAsia" w:ascii="宋体" w:hAnsi="宋体" w:eastAsia="宋体" w:cs="宋体"/>
                <w:b/>
                <w:bCs/>
                <w:i w:val="0"/>
                <w:iCs w:val="0"/>
                <w:color w:val="000000"/>
                <w:sz w:val="24"/>
                <w:szCs w:val="24"/>
                <w:u w:val="none"/>
              </w:rPr>
            </w:pPr>
          </w:p>
        </w:tc>
        <w:tc>
          <w:tcPr>
            <w:tcW w:w="1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FA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公共与底层</w:t>
            </w: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D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 基础框架</w:t>
            </w:r>
          </w:p>
        </w:tc>
      </w:tr>
      <w:tr w14:paraId="6614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3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AC11">
            <w:pPr>
              <w:jc w:val="center"/>
              <w:rPr>
                <w:rFonts w:hint="eastAsia" w:ascii="宋体" w:hAnsi="宋体" w:eastAsia="宋体" w:cs="宋体"/>
                <w:b/>
                <w:bCs/>
                <w:i w:val="0"/>
                <w:iCs w:val="0"/>
                <w:color w:val="000000"/>
                <w:sz w:val="24"/>
                <w:szCs w:val="24"/>
                <w:u w:val="none"/>
              </w:rPr>
            </w:pPr>
          </w:p>
        </w:tc>
        <w:tc>
          <w:tcPr>
            <w:tcW w:w="1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58C6">
            <w:pPr>
              <w:jc w:val="center"/>
              <w:rPr>
                <w:rFonts w:hint="eastAsia" w:ascii="宋体" w:hAnsi="宋体" w:eastAsia="宋体" w:cs="宋体"/>
                <w:i w:val="0"/>
                <w:iCs w:val="0"/>
                <w:color w:val="000000"/>
                <w:sz w:val="24"/>
                <w:szCs w:val="24"/>
                <w:u w:val="none"/>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5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 离线数据同步</w:t>
            </w:r>
          </w:p>
        </w:tc>
      </w:tr>
    </w:tbl>
    <w:p w14:paraId="4DD6B8C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（二）硬件设备要求（均需国产）</w:t>
      </w:r>
      <w:r>
        <w:rPr>
          <w:rFonts w:hint="eastAsia" w:ascii="宋体" w:hAnsi="宋体" w:eastAsia="宋体" w:cs="宋体"/>
          <w:sz w:val="24"/>
          <w:lang w:val="en-US" w:eastAsia="zh-CN"/>
        </w:rPr>
        <w:tab/>
      </w:r>
    </w:p>
    <w:p w14:paraId="76C2BAF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1、服务器：服务器1台：CPU≥8核，频率≥2.0G，内存≥16GB，存储≥4TB（SSD+HDD），支持RAID 1。 </w:t>
      </w:r>
    </w:p>
    <w:p w14:paraId="5BF192B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学员平板电脑：屏幕≥11英寸，屏幕分辨率≥2K，总存储容量≥512GB（含扩展SD卡），处理器速度≥2.0GHz，运行内存≥8GB，电池容量≥8000mAh，仅保留1个Type-C接口（仅支持数据传输与充电），禁用Wi-Fi、蓝牙、移动网络模块。市场主流操作系统，禁止应用商店、浏览器、设置界面等非学习功能。系统需预装封闭式学习环境，禁止用户安装任何第三方应用，系统还原功能仅限监狱管理员操作。</w:t>
      </w:r>
    </w:p>
    <w:p w14:paraId="3956685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数量：100台，含定制学习桌椅、固定支架及防盗设备。</w:t>
      </w:r>
      <w:r>
        <w:rPr>
          <w:rFonts w:hint="eastAsia" w:ascii="宋体" w:hAnsi="宋体" w:eastAsia="宋体" w:cs="宋体"/>
          <w:sz w:val="24"/>
          <w:lang w:val="en-US" w:eastAsia="zh-CN"/>
        </w:rPr>
        <w:tab/>
      </w:r>
    </w:p>
    <w:p w14:paraId="1455D14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3、平板电脑充电柜：支持定制充电柜集中充电以及数据传输，充电柜具备过温保护、过电保护、短路保护等功能。 支持100台设备同时充电，每格独立，柜门带透明观察窗。</w:t>
      </w:r>
    </w:p>
    <w:p w14:paraId="1B8FC93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4、学习桌椅：提供36套座椅，每套可坐3人，桌椅为非金属材质，规格：长175CM*宽40CM*高75CM，定制平板固定支架设计，支架内设接触式安全充电接口，避免使用外露充电线，防止拆卸。</w:t>
      </w:r>
    </w:p>
    <w:p w14:paraId="48D4B0B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5、大屏电视：</w:t>
      </w:r>
      <w:r>
        <w:rPr>
          <w:rFonts w:hint="eastAsia" w:ascii="宋体" w:hAnsi="宋体" w:eastAsia="宋体" w:cs="宋体"/>
          <w:sz w:val="24"/>
          <w:lang w:val="en-US" w:eastAsia="zh-CN"/>
        </w:rPr>
        <w:tab/>
      </w:r>
      <w:r>
        <w:rPr>
          <w:rFonts w:hint="eastAsia" w:ascii="宋体" w:hAnsi="宋体" w:eastAsia="宋体" w:cs="宋体"/>
          <w:sz w:val="24"/>
          <w:lang w:val="en-US" w:eastAsia="zh-CN"/>
        </w:rPr>
        <w:t>配置不低于屏幕大小75英寸，分辨率4k，移除WIFI、蓝牙、网络等功能模块。</w:t>
      </w:r>
      <w:r>
        <w:rPr>
          <w:rFonts w:hint="eastAsia" w:ascii="宋体" w:hAnsi="宋体" w:eastAsia="宋体" w:cs="宋体"/>
          <w:sz w:val="24"/>
          <w:lang w:val="en-US" w:eastAsia="zh-CN"/>
        </w:rPr>
        <w:tab/>
      </w:r>
    </w:p>
    <w:p w14:paraId="5C43424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（三）系统集成要求</w:t>
      </w:r>
      <w:r>
        <w:rPr>
          <w:rFonts w:hint="eastAsia" w:ascii="宋体" w:hAnsi="宋体" w:eastAsia="宋体" w:cs="宋体"/>
          <w:sz w:val="24"/>
          <w:lang w:val="en-US" w:eastAsia="zh-CN"/>
        </w:rPr>
        <w:tab/>
      </w:r>
    </w:p>
    <w:p w14:paraId="47F2F323">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1、完成软硬件部署、系统联调、数据初始化、操作培训等。</w:t>
      </w:r>
    </w:p>
    <w:p w14:paraId="03F1DEF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（四）需求变更要求</w:t>
      </w:r>
    </w:p>
    <w:p w14:paraId="22272E9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功能微调与优化：在本项目软件系统开发及质保期内，为满足采购人实际业务运行需求，在不改变系统核心架构、数据库底层设计及主要业务流程的前提下，中标人应配合采购人对软件界面、报表格式、字段名称、操作流程顺序等进行优化调整。此类调整视为合同范围内的细化工作，中标人应予以配合，相关费用已包含在投标总价中。</w:t>
      </w:r>
    </w:p>
    <w:p w14:paraId="71307FD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需求变更程序：若采购人提出的调整需求超出上述“功能微调”范围，可能涉及新增功能模块或改变核心业务逻辑的，由双方协商确定为“需求变更”。所有需求变更必须签订书面《变更确认单》，明确变更内容、实施方案、工期影响及费用调整（如有）。</w:t>
      </w:r>
    </w:p>
    <w:p w14:paraId="4D98AA8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3、金额变更上限：所有经双方确认的需求变更所涉及的追加采购金额，累计不得超过原合同采购金额的百分之十（10%）。</w:t>
      </w:r>
    </w:p>
    <w:p w14:paraId="2EBEB1D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4、费用核算原则：对于确认的需求变更，若增加工作量，费用由双方根据市场行情协商确定；若减少工作量，合同价款应相应核减。若变更由采购人提出且未导致成本增加，中标人不得借此要求增加费用。</w:t>
      </w:r>
    </w:p>
    <w:p w14:paraId="4474E8C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5、承诺要求：投标人须提供书面承诺函（格式自拟），承诺完全响应并接受上述关于软件功能优化及需求变更的条款。该承诺将作为合同的有效组成部分。</w:t>
      </w:r>
    </w:p>
    <w:p w14:paraId="27570A77">
      <w:pPr>
        <w:pStyle w:val="18"/>
        <w:widowControl/>
        <w:spacing w:beforeAutospacing="0" w:afterAutospacing="0" w:line="480" w:lineRule="atLeast"/>
        <w:jc w:val="both"/>
        <w:outlineLvl w:val="1"/>
        <w:rPr>
          <w:rFonts w:ascii="Calibri" w:hAnsi="Calibri" w:eastAsia="宋体"/>
          <w:color w:val="auto"/>
          <w:lang w:val="zh-CN" w:bidi="ar"/>
        </w:rPr>
      </w:pPr>
      <w:bookmarkStart w:id="36" w:name="_Toc13311"/>
      <w:bookmarkStart w:id="37" w:name="_Toc21910"/>
      <w:r>
        <w:rPr>
          <w:rFonts w:hint="eastAsia" w:ascii="Calibri" w:hAnsi="Calibri" w:eastAsia="宋体"/>
          <w:b/>
          <w:bCs/>
          <w:color w:val="auto"/>
          <w:lang w:val="zh-CN" w:bidi="ar"/>
        </w:rPr>
        <w:t>三、商务要求（以下内容为不允许负偏离的实质性要求）</w:t>
      </w:r>
      <w:bookmarkEnd w:id="36"/>
      <w:bookmarkEnd w:id="37"/>
    </w:p>
    <w:p w14:paraId="0EB57B5F">
      <w:pPr>
        <w:pStyle w:val="18"/>
        <w:widowControl/>
        <w:spacing w:beforeAutospacing="0" w:afterAutospacing="0" w:line="480" w:lineRule="atLeast"/>
        <w:ind w:firstLine="420"/>
        <w:jc w:val="both"/>
        <w:rPr>
          <w:rFonts w:ascii="Calibri" w:hAnsi="Calibri" w:eastAsia="宋体"/>
          <w:color w:val="auto"/>
          <w:lang w:val="zh-CN" w:bidi="ar"/>
        </w:rPr>
      </w:pPr>
      <w:r>
        <w:rPr>
          <w:rFonts w:hint="eastAsia" w:ascii="宋体" w:hAnsi="宋体" w:eastAsia="宋体" w:cs="宋体"/>
          <w:b/>
          <w:bCs/>
          <w:color w:val="auto"/>
          <w:kern w:val="2"/>
        </w:rPr>
        <w:t>采购包1</w:t>
      </w:r>
      <w:r>
        <w:rPr>
          <w:rFonts w:hint="eastAsia" w:ascii="Calibri" w:hAnsi="Calibri" w:eastAsia="宋体"/>
          <w:color w:val="auto"/>
          <w:lang w:val="zh-CN" w:bidi="ar"/>
        </w:rPr>
        <w:t>：</w:t>
      </w:r>
    </w:p>
    <w:tbl>
      <w:tblPr>
        <w:tblStyle w:val="2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7"/>
        <w:gridCol w:w="2054"/>
        <w:gridCol w:w="6973"/>
      </w:tblGrid>
      <w:tr w14:paraId="7C9FAC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7EE68E">
            <w:pPr>
              <w:pStyle w:val="18"/>
              <w:widowControl/>
              <w:spacing w:beforeAutospacing="0" w:afterAutospacing="0" w:line="480" w:lineRule="atLeast"/>
              <w:jc w:val="center"/>
              <w:rPr>
                <w:rFonts w:ascii="Calibri" w:hAnsi="Calibri" w:eastAsia="宋体"/>
                <w:b/>
                <w:bCs/>
                <w:color w:val="auto"/>
                <w:lang w:val="zh-CN"/>
              </w:rPr>
            </w:pPr>
            <w:r>
              <w:rPr>
                <w:rFonts w:hint="eastAsia" w:ascii="Calibri" w:hAnsi="Calibri" w:eastAsia="宋体"/>
                <w:b/>
                <w:bCs/>
                <w:color w:val="auto"/>
                <w:lang w:bidi="ar"/>
              </w:rPr>
              <w:t>序号</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A9639C">
            <w:pPr>
              <w:pStyle w:val="18"/>
              <w:widowControl/>
              <w:spacing w:beforeAutospacing="0" w:afterAutospacing="0" w:line="480" w:lineRule="atLeast"/>
              <w:jc w:val="center"/>
              <w:rPr>
                <w:rFonts w:ascii="Calibri" w:hAnsi="Calibri" w:eastAsia="宋体"/>
                <w:b/>
                <w:bCs/>
                <w:color w:val="auto"/>
                <w:lang w:val="zh-CN"/>
              </w:rPr>
            </w:pPr>
            <w:r>
              <w:rPr>
                <w:rFonts w:hint="eastAsia" w:ascii="Calibri" w:hAnsi="Calibri" w:eastAsia="宋体"/>
                <w:b/>
                <w:bCs/>
                <w:color w:val="auto"/>
                <w:lang w:bidi="ar"/>
              </w:rPr>
              <w:t>类型</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94C375">
            <w:pPr>
              <w:pStyle w:val="18"/>
              <w:widowControl/>
              <w:spacing w:beforeAutospacing="0" w:afterAutospacing="0" w:line="480" w:lineRule="atLeast"/>
              <w:jc w:val="center"/>
              <w:rPr>
                <w:rFonts w:ascii="Calibri" w:hAnsi="Calibri" w:eastAsia="宋体"/>
                <w:b/>
                <w:bCs/>
                <w:color w:val="auto"/>
                <w:lang w:val="zh-CN"/>
              </w:rPr>
            </w:pPr>
            <w:r>
              <w:rPr>
                <w:rFonts w:hint="eastAsia" w:ascii="Calibri" w:hAnsi="Calibri" w:eastAsia="宋体"/>
                <w:b/>
                <w:bCs/>
                <w:color w:val="auto"/>
                <w:lang w:bidi="ar"/>
              </w:rPr>
              <w:t>要求</w:t>
            </w:r>
          </w:p>
        </w:tc>
      </w:tr>
      <w:tr w14:paraId="77AE7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630B6A">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1</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813A8">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交货地点</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60554D">
            <w:pPr>
              <w:pStyle w:val="18"/>
              <w:widowControl/>
              <w:spacing w:beforeAutospacing="0" w:afterAutospacing="0" w:line="480" w:lineRule="atLeast"/>
              <w:jc w:val="both"/>
              <w:rPr>
                <w:rFonts w:hint="eastAsia" w:cs="Times New Roman"/>
                <w:color w:val="auto"/>
                <w:lang w:val="zh-CN" w:eastAsia="zh-CN"/>
              </w:rPr>
            </w:pPr>
            <w:r>
              <w:rPr>
                <w:rFonts w:hint="eastAsia" w:cs="Times New Roman"/>
                <w:color w:val="auto"/>
                <w:lang w:val="en-US" w:eastAsia="zh-CN"/>
              </w:rPr>
              <w:t>福建省厦门监狱</w:t>
            </w:r>
          </w:p>
        </w:tc>
      </w:tr>
      <w:tr w14:paraId="4BCFC2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797E55">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2</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18BF02">
            <w:pPr>
              <w:pStyle w:val="18"/>
              <w:widowControl/>
              <w:spacing w:beforeAutospacing="0" w:afterAutospacing="0" w:line="480" w:lineRule="atLeast"/>
              <w:jc w:val="center"/>
              <w:rPr>
                <w:rFonts w:ascii="Calibri" w:hAnsi="Calibri" w:eastAsia="宋体"/>
                <w:color w:val="auto"/>
              </w:rPr>
            </w:pPr>
            <w:r>
              <w:rPr>
                <w:rFonts w:hint="eastAsia" w:ascii="Calibri" w:hAnsi="Calibri" w:eastAsia="宋体"/>
                <w:color w:val="auto"/>
                <w:lang w:bidi="ar"/>
              </w:rPr>
              <w:t>交货条件</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C68D19">
            <w:pPr>
              <w:pStyle w:val="18"/>
              <w:widowControl/>
              <w:spacing w:beforeAutospacing="0" w:afterAutospacing="0" w:line="480" w:lineRule="atLeast"/>
              <w:jc w:val="both"/>
              <w:rPr>
                <w:rFonts w:hint="eastAsia" w:cs="Times New Roman"/>
                <w:color w:val="auto"/>
                <w:lang w:val="en-US" w:eastAsia="zh-CN"/>
              </w:rPr>
            </w:pPr>
            <w:r>
              <w:rPr>
                <w:rFonts w:hint="eastAsia" w:cs="Times New Roman"/>
                <w:color w:val="auto"/>
                <w:lang w:val="en-US" w:eastAsia="zh-CN"/>
              </w:rPr>
              <w:t>验收合格。</w:t>
            </w:r>
          </w:p>
        </w:tc>
      </w:tr>
      <w:tr w14:paraId="0E405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EE8B2F">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3</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034B5E">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是否邀请投标人验收</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9E2256">
            <w:pPr>
              <w:pStyle w:val="18"/>
              <w:widowControl/>
              <w:spacing w:beforeAutospacing="0" w:afterAutospacing="0" w:line="480" w:lineRule="atLeast"/>
              <w:jc w:val="both"/>
              <w:rPr>
                <w:rFonts w:hint="eastAsia" w:cs="Times New Roman"/>
                <w:color w:val="auto"/>
                <w:lang w:val="zh-CN" w:eastAsia="zh-CN"/>
              </w:rPr>
            </w:pPr>
            <w:r>
              <w:rPr>
                <w:rFonts w:hint="eastAsia" w:cs="Times New Roman"/>
                <w:color w:val="auto"/>
                <w:lang w:val="en-US" w:eastAsia="zh-CN"/>
              </w:rPr>
              <w:t>不邀请投标人验收</w:t>
            </w:r>
          </w:p>
        </w:tc>
      </w:tr>
      <w:tr w14:paraId="04181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14F1E5">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4</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606481">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履约验收方式</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BF20D2">
            <w:pPr>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1、期次1，说明：初验：软件部分：上线试运行30日后，由采购人组织初步验收。硬件部分：设备安装调试完成后10日内，由采购人组织初步验收。</w:t>
            </w:r>
          </w:p>
          <w:p w14:paraId="45A84587">
            <w:pPr>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2、期次2，说明：试运行：试运行期：1个月，期间系统稳定运行、硬件无故障。</w:t>
            </w:r>
          </w:p>
          <w:p w14:paraId="4BBCEA28">
            <w:pPr>
              <w:rPr>
                <w:rFonts w:hint="eastAsia"/>
                <w:highlight w:val="none"/>
                <w:lang w:val="zh-CN" w:eastAsia="zh-CN"/>
              </w:rPr>
            </w:pPr>
            <w:r>
              <w:rPr>
                <w:rFonts w:hint="eastAsia" w:cs="Times New Roman"/>
                <w:color w:val="auto"/>
                <w:kern w:val="0"/>
                <w:sz w:val="24"/>
                <w:highlight w:val="none"/>
                <w:lang w:val="en-US" w:eastAsia="zh-CN"/>
              </w:rPr>
              <w:t>3、期次3，说明：试运行期满且所有问题整改完成后10日内，由采购人组织最终验收。终验合格后进入质保期。</w:t>
            </w:r>
          </w:p>
        </w:tc>
      </w:tr>
      <w:tr w14:paraId="0D221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8" w:hRule="atLeast"/>
        </w:trPr>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31C991">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5</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CBA948">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交付时间</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E5C100">
            <w:pPr>
              <w:pStyle w:val="18"/>
              <w:widowControl/>
              <w:spacing w:beforeAutospacing="0" w:afterAutospacing="0" w:line="480" w:lineRule="atLeast"/>
              <w:jc w:val="both"/>
              <w:rPr>
                <w:rFonts w:hint="eastAsia" w:cs="Times New Roman"/>
                <w:color w:val="auto"/>
                <w:highlight w:val="none"/>
                <w:lang w:val="zh-CN" w:eastAsia="zh-CN"/>
              </w:rPr>
            </w:pPr>
            <w:r>
              <w:rPr>
                <w:rFonts w:hint="eastAsia"/>
                <w:color w:val="auto"/>
                <w:highlight w:val="none"/>
                <w:lang w:val="en-US" w:eastAsia="zh-CN"/>
              </w:rPr>
              <w:t>软件部分：合同签订后30日历天内完成开发、部署并上线试运行；硬件部分：合同签订后50日历天内完成供货、安装并具备初验条件。</w:t>
            </w:r>
            <w:r>
              <w:rPr>
                <w:rFonts w:hint="eastAsia" w:cs="Times New Roman"/>
                <w:color w:val="auto"/>
                <w:kern w:val="0"/>
                <w:sz w:val="24"/>
                <w:highlight w:val="none"/>
                <w:lang w:val="en-US" w:eastAsia="zh-CN"/>
              </w:rPr>
              <w:t>试运行1个月且所有问题整改完成后10日内采购人组织最终验收并交付。</w:t>
            </w:r>
          </w:p>
        </w:tc>
      </w:tr>
      <w:tr w14:paraId="1ED0C9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4AF75E">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6</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24C44C">
            <w:pPr>
              <w:pStyle w:val="18"/>
              <w:widowControl/>
              <w:spacing w:beforeAutospacing="0" w:afterAutospacing="0" w:line="480" w:lineRule="atLeast"/>
              <w:jc w:val="center"/>
              <w:rPr>
                <w:rFonts w:ascii="Calibri" w:hAnsi="Calibri" w:eastAsia="宋体"/>
                <w:color w:val="auto"/>
                <w:lang w:val="zh-CN"/>
              </w:rPr>
            </w:pPr>
            <w:r>
              <w:rPr>
                <w:rFonts w:hint="eastAsia" w:ascii="Calibri" w:hAnsi="Calibri" w:eastAsia="宋体"/>
                <w:color w:val="auto"/>
                <w:lang w:bidi="ar"/>
              </w:rPr>
              <w:t>合同支付方式</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243E18">
            <w:pPr>
              <w:pStyle w:val="18"/>
              <w:widowControl/>
              <w:spacing w:beforeAutospacing="0" w:afterAutospacing="0" w:line="480" w:lineRule="atLeast"/>
              <w:jc w:val="both"/>
              <w:rPr>
                <w:rFonts w:hint="eastAsia" w:cs="Times New Roman"/>
                <w:color w:val="auto"/>
                <w:highlight w:val="none"/>
                <w:lang w:val="zh-CN" w:eastAsia="zh-CN"/>
              </w:rPr>
            </w:pPr>
            <w:r>
              <w:rPr>
                <w:rFonts w:hint="eastAsia" w:eastAsia="宋体"/>
                <w:color w:val="auto"/>
                <w:highlight w:val="none"/>
                <w:lang w:val="en-US" w:eastAsia="zh-CN"/>
              </w:rPr>
              <w:t>最终验收合格后，成交供应</w:t>
            </w:r>
            <w:r>
              <w:rPr>
                <w:rFonts w:hint="eastAsia" w:eastAsia="宋体"/>
                <w:color w:val="auto"/>
                <w:highlight w:val="none"/>
                <w:lang w:eastAsia="zh-CN"/>
              </w:rPr>
              <w:t>开具全额增值税普通发票等完整请款材料，采购人</w:t>
            </w:r>
            <w:r>
              <w:rPr>
                <w:rFonts w:hint="eastAsia" w:eastAsia="宋体"/>
                <w:color w:val="auto"/>
                <w:highlight w:val="none"/>
                <w:lang w:val="en-US" w:eastAsia="zh-CN"/>
              </w:rPr>
              <w:t>10个工作日内一次性支付合同金额100%。</w:t>
            </w:r>
          </w:p>
        </w:tc>
      </w:tr>
      <w:tr w14:paraId="40D57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3C2B87">
            <w:pPr>
              <w:pStyle w:val="18"/>
              <w:widowControl/>
              <w:spacing w:beforeAutospacing="0" w:afterAutospacing="0" w:line="480" w:lineRule="atLeast"/>
              <w:jc w:val="center"/>
              <w:rPr>
                <w:rFonts w:ascii="Calibri" w:hAnsi="Calibri" w:eastAsia="宋体"/>
                <w:color w:val="auto"/>
              </w:rPr>
            </w:pPr>
            <w:r>
              <w:rPr>
                <w:rFonts w:hint="eastAsia" w:ascii="Calibri" w:hAnsi="Calibri" w:eastAsia="宋体"/>
                <w:color w:val="auto"/>
                <w:lang w:bidi="ar"/>
              </w:rPr>
              <w:t>7</w:t>
            </w:r>
          </w:p>
        </w:tc>
        <w:tc>
          <w:tcPr>
            <w:tcW w:w="10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7B8546">
            <w:pPr>
              <w:pStyle w:val="18"/>
              <w:widowControl/>
              <w:spacing w:beforeAutospacing="0" w:afterAutospacing="0" w:line="480" w:lineRule="atLeast"/>
              <w:jc w:val="center"/>
              <w:rPr>
                <w:rFonts w:ascii="Calibri" w:hAnsi="Calibri" w:eastAsia="宋体"/>
                <w:color w:val="auto"/>
              </w:rPr>
            </w:pPr>
            <w:r>
              <w:rPr>
                <w:rFonts w:hint="eastAsia" w:ascii="Calibri" w:hAnsi="Calibri" w:eastAsia="宋体"/>
                <w:color w:val="auto"/>
                <w:lang w:bidi="ar"/>
              </w:rPr>
              <w:t>履约保证金</w:t>
            </w:r>
          </w:p>
        </w:tc>
        <w:tc>
          <w:tcPr>
            <w:tcW w:w="353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E93DE1">
            <w:pPr>
              <w:pStyle w:val="18"/>
              <w:widowControl/>
              <w:spacing w:beforeAutospacing="0" w:afterAutospacing="0" w:line="480" w:lineRule="atLeast"/>
              <w:jc w:val="both"/>
              <w:rPr>
                <w:rFonts w:hint="eastAsia" w:cs="Times New Roman"/>
                <w:color w:val="auto"/>
                <w:lang w:val="zh-CN" w:eastAsia="zh-CN"/>
              </w:rPr>
            </w:pPr>
            <w:r>
              <w:rPr>
                <w:rFonts w:hint="eastAsia" w:eastAsia="宋体"/>
                <w:color w:val="auto"/>
                <w:lang w:eastAsia="zh-CN"/>
              </w:rPr>
              <w:t>中标人在签订合同前以转账、支票、银行无条件支付保函（有效期应涵盖质保期）等非现金方式向采购人缴纳合同金额5%的履约保证金,</w:t>
            </w:r>
            <w:r>
              <w:rPr>
                <w:rFonts w:hint="eastAsia" w:eastAsia="宋体"/>
                <w:color w:val="auto"/>
                <w:lang w:val="zh-CN" w:eastAsia="zh-CN"/>
              </w:rPr>
              <w:t>该履约保证金在合同约定全部事项（含</w:t>
            </w:r>
            <w:r>
              <w:rPr>
                <w:rFonts w:hint="eastAsia" w:eastAsia="宋体"/>
                <w:color w:val="auto"/>
                <w:lang w:val="en-US" w:eastAsia="zh-CN"/>
              </w:rPr>
              <w:t>质保</w:t>
            </w:r>
            <w:r>
              <w:rPr>
                <w:rFonts w:hint="eastAsia" w:eastAsia="宋体"/>
                <w:color w:val="auto"/>
                <w:lang w:val="zh-CN" w:eastAsia="zh-CN"/>
              </w:rPr>
              <w:t>期）履行完毕，且无未了事项</w:t>
            </w:r>
            <w:r>
              <w:rPr>
                <w:rFonts w:hint="eastAsia" w:eastAsia="宋体"/>
                <w:color w:val="auto"/>
                <w:lang w:eastAsia="zh-CN"/>
              </w:rPr>
              <w:t>，在收到中标人书面申请后，于</w:t>
            </w:r>
            <w:r>
              <w:rPr>
                <w:rFonts w:hint="eastAsia" w:eastAsia="宋体"/>
                <w:color w:val="auto"/>
                <w:lang w:val="en-US" w:eastAsia="zh-CN"/>
              </w:rPr>
              <w:t>2</w:t>
            </w:r>
            <w:r>
              <w:rPr>
                <w:rFonts w:hint="eastAsia" w:eastAsia="宋体"/>
                <w:color w:val="auto"/>
                <w:lang w:eastAsia="zh-CN"/>
              </w:rPr>
              <w:t>0个工作日内无息退还。</w:t>
            </w:r>
          </w:p>
        </w:tc>
      </w:tr>
    </w:tbl>
    <w:p w14:paraId="542B813C">
      <w:pPr>
        <w:pStyle w:val="18"/>
        <w:widowControl/>
        <w:shd w:val="clear" w:color="auto" w:fill="FFFFFF"/>
        <w:spacing w:beforeAutospacing="0" w:afterAutospacing="0" w:line="480" w:lineRule="atLeast"/>
        <w:ind w:firstLine="482" w:firstLineChars="200"/>
        <w:rPr>
          <w:rFonts w:ascii="Calibri" w:hAnsi="Calibri" w:eastAsia="宋体"/>
          <w:color w:val="auto"/>
          <w:lang w:val="zh-CN" w:bidi="ar"/>
        </w:rPr>
      </w:pPr>
      <w:r>
        <w:rPr>
          <w:rFonts w:hint="eastAsia" w:ascii="宋体" w:hAnsi="宋体" w:eastAsia="宋体" w:cs="宋体"/>
          <w:b/>
          <w:bCs/>
          <w:color w:val="auto"/>
          <w:kern w:val="2"/>
        </w:rPr>
        <w:t>采购包1：</w:t>
      </w:r>
    </w:p>
    <w:p w14:paraId="2458D4BB">
      <w:pPr>
        <w:pStyle w:val="18"/>
        <w:widowControl/>
        <w:spacing w:beforeAutospacing="0" w:afterAutospacing="0" w:line="480" w:lineRule="atLeast"/>
        <w:ind w:firstLine="420"/>
        <w:jc w:val="both"/>
        <w:rPr>
          <w:rFonts w:ascii="Calibri" w:hAnsi="Calibri" w:eastAsia="宋体"/>
          <w:color w:val="auto"/>
          <w:lang w:val="zh-CN" w:bidi="ar"/>
        </w:rPr>
      </w:pPr>
      <w:r>
        <w:rPr>
          <w:rFonts w:hint="eastAsia" w:ascii="Calibri" w:hAnsi="Calibri" w:eastAsia="宋体"/>
          <w:color w:val="auto"/>
          <w:lang w:val="zh-CN" w:bidi="ar"/>
        </w:rPr>
        <w:t>其他商务要求</w:t>
      </w:r>
    </w:p>
    <w:p w14:paraId="7C682C4D">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8、安装、调试、部署与验收</w:t>
      </w:r>
    </w:p>
    <w:p w14:paraId="4C3DB511">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 安装、调试与部署</w:t>
      </w:r>
    </w:p>
    <w:p w14:paraId="75B8E8EA">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8.1.1 合同签订后，中标人须在【7】个工作日内向采购人提交详细的《项目实施方案》，包括软硬件部署计划、安装所需环境（水、电、网络、承重等）要求、人员安排及进度表。</w:t>
      </w:r>
    </w:p>
    <w:p w14:paraId="74223075">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8.1.2 中标人负责将所有硬件设备（包括但不限于平板、学习桌椅、充电支架、服务器、网络设备等）安全运抵采购人指定地点（厦门监狱内），并承担全部运输、保险费用。</w:t>
      </w:r>
    </w:p>
    <w:p w14:paraId="025F663D">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8.1.3 硬件安装调试：中标人须在采购人通知后，派遣合格技术人员现场进行硬件设备的安装、集成与调试，确保所有硬件设备（包括终端屏安装、线路敷设等）运行正常，达到招标文件要求的功能与性能。</w:t>
      </w:r>
    </w:p>
    <w:p w14:paraId="7A356DD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8.1.4 软件部署与系统集成：中标人负责将定制开发的“出监教育数字化系统”软件平台部署至采购人指定的服务器环境（或云环境），完成与采购人现有相关系统（如有）的数据接口对接、联调测试，并实现软件平台对全部硬件终端（民警管理端、学员用户端）的有效管控。</w:t>
      </w:r>
    </w:p>
    <w:p w14:paraId="5F802BAA">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8.1.5 采购人应为安装调试工作提供必要的场地、电力、网络接入及专人配合。涉及监区内部施工，中标人人员须严格遵守监狱安全管理规定，服从采购人现场管理。</w:t>
      </w:r>
    </w:p>
    <w:p w14:paraId="18FA7EA1">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8.1.6设备设施平移：质保期内，若采购人有场地调整需求，中标人须根据采购人要求，派遣合格技术人员至现场，将原安装交付的所有硬件设备整体迁移至指定新场所。此项服务属于质保期内的售后范畴，相关人工、运输、安装及调试费用均包含在投标总价中，采购人不再另行支付费用。中标人须确保所有设备在新场所安装（含终端屏安装、线路敷设）后运行正常。</w:t>
      </w:r>
    </w:p>
    <w:p w14:paraId="10BF096B">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8.2 验收</w:t>
      </w:r>
    </w:p>
    <w:p w14:paraId="74BC36F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8.2.1 验收标准</w:t>
      </w:r>
    </w:p>
    <w:p w14:paraId="0190D30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硬件设备：必须为全新的、未使用的原厂正品，符合国家质量标准和招标文件要求。</w:t>
      </w:r>
    </w:p>
    <w:p w14:paraId="75A3DD03">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软件系统：必须完全响应并实现招标文件第三部分“技术要求”及中标人投标文件承诺的全部功能。</w:t>
      </w:r>
    </w:p>
    <w:p w14:paraId="71C55DA4">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系统整体：软硬件集成后，系统须运行稳定、安全可靠，满足项目设定的业务目标。所有临出监学员教育学习数据必须具备完整存储、备份与五年备查能力。</w:t>
      </w:r>
    </w:p>
    <w:p w14:paraId="1A12D4B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文档资料：须提供完整的技术文档。</w:t>
      </w:r>
    </w:p>
    <w:p w14:paraId="189A79A7">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8.2.2 验收阶段与程序</w:t>
      </w:r>
    </w:p>
    <w:p w14:paraId="253CB993">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到货初验：硬件设备到场后，由采购人会同中标人进行开箱清点，核对数量、型号、外观及随箱资料，签署《到货验收单》。</w:t>
      </w:r>
    </w:p>
    <w:p w14:paraId="7CD14A74">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初步（硬件）验收：所有硬件安装、调试、集成完毕后，中标人进行自检并提交自检报告。采购人组织对硬件安装成果（如桌椅牢固度、终端屏功能、充电架效用、网络连通性等）进行验收，验收通过后签署《初步验收报告》。</w:t>
      </w:r>
    </w:p>
    <w:p w14:paraId="4DC2B3A1">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试运行与最终验收：</w:t>
      </w:r>
    </w:p>
    <w:p w14:paraId="25597E8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初步验收合格后，系统进入为期</w:t>
      </w:r>
      <w:r>
        <w:rPr>
          <w:rFonts w:hint="eastAsia" w:cs="Times New Roman"/>
          <w:color w:val="auto"/>
          <w:kern w:val="0"/>
          <w:sz w:val="24"/>
          <w:highlight w:val="none"/>
          <w:lang w:val="en-US" w:eastAsia="zh-CN"/>
        </w:rPr>
        <w:t>1个月</w:t>
      </w:r>
      <w:r>
        <w:rPr>
          <w:rFonts w:hint="eastAsia" w:ascii="宋体" w:hAnsi="宋体" w:cs="宋体"/>
          <w:color w:val="auto"/>
          <w:sz w:val="24"/>
          <w:highlight w:val="none"/>
          <w:lang w:val="en-US" w:eastAsia="zh-CN" w:bidi="ar"/>
        </w:rPr>
        <w:t>的试运行期。</w:t>
      </w:r>
    </w:p>
    <w:p w14:paraId="132C368A">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试运行期内，系统须承担实际业务负载，中标人需提供全程技术支持，确保系统稳定。</w:t>
      </w:r>
    </w:p>
    <w:p w14:paraId="687330D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试运行期结束且系统运行稳定、功能完备、数据准确后，由采购人组织最终验收。中标人需提供完整的《项目竣工报告》及《用户使用报告》。</w:t>
      </w:r>
    </w:p>
    <w:p w14:paraId="0B75F6B7">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最终验收合格后，双方签署《项目最终验收报告》，项目进入质量保证期。</w:t>
      </w:r>
    </w:p>
    <w:p w14:paraId="5EA12219">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验收过程中产生的所有费用（包括第三方检测费用，如有）均由中标人承担。</w:t>
      </w:r>
    </w:p>
    <w:p w14:paraId="53D63734">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9、技术资料与交付物</w:t>
      </w:r>
    </w:p>
    <w:p w14:paraId="4AC4309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中标人须在项目最终验收时，向采购人交付完整的技术资料及交付物（所有费用含于总价），包括但不限于：</w:t>
      </w:r>
    </w:p>
    <w:p w14:paraId="22DBD4D3">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9.1 硬件资料：设备出厂合格证、保修卡、中文使用说明书、安装手册、维修手册、电路图、零部件目录。</w:t>
      </w:r>
    </w:p>
    <w:p w14:paraId="2A9CA23C">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9.2 软件资料与交付物：</w:t>
      </w:r>
    </w:p>
    <w:p w14:paraId="1072ABC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①</w:t>
      </w:r>
      <w:r>
        <w:rPr>
          <w:rFonts w:hint="eastAsia" w:ascii="宋体" w:hAnsi="宋体" w:cs="宋体"/>
          <w:color w:val="auto"/>
          <w:sz w:val="24"/>
          <w:highlight w:val="none"/>
          <w:lang w:val="en-US" w:eastAsia="zh-CN" w:bidi="ar"/>
        </w:rPr>
        <w:t>源代码：项目全部源代码及相关开发文档（注释规范），并在验收后移交采购人指定存储库。</w:t>
      </w:r>
    </w:p>
    <w:p w14:paraId="62A4084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②</w:t>
      </w:r>
      <w:r>
        <w:rPr>
          <w:rFonts w:hint="eastAsia" w:ascii="宋体" w:hAnsi="宋体" w:cs="宋体"/>
          <w:color w:val="auto"/>
          <w:sz w:val="24"/>
          <w:highlight w:val="none"/>
          <w:lang w:val="en-US" w:eastAsia="zh-CN" w:bidi="ar"/>
        </w:rPr>
        <w:t>技术文档：《系统需求规格说明书》、《系统设计文档》、《数据库设计文档》、《接口文档》、《系统部署手册》、《系统管理员手册》、《用户操作手册》。</w:t>
      </w:r>
    </w:p>
    <w:p w14:paraId="63F5B2A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③</w:t>
      </w:r>
      <w:r>
        <w:rPr>
          <w:rFonts w:hint="eastAsia" w:ascii="宋体" w:hAnsi="宋体" w:cs="宋体"/>
          <w:color w:val="auto"/>
          <w:sz w:val="24"/>
          <w:highlight w:val="none"/>
          <w:lang w:val="en-US" w:eastAsia="zh-CN" w:bidi="ar"/>
        </w:rPr>
        <w:t>运维文档：《系统维护指南》、《故障排查手册》、《数据备份与恢复方案》。</w:t>
      </w:r>
    </w:p>
    <w:p w14:paraId="1EAFCC6B">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④</w:t>
      </w:r>
      <w:r>
        <w:rPr>
          <w:rFonts w:hint="eastAsia" w:ascii="宋体" w:hAnsi="宋体" w:cs="宋体"/>
          <w:color w:val="auto"/>
          <w:sz w:val="24"/>
          <w:highlight w:val="none"/>
          <w:lang w:val="en-US" w:eastAsia="zh-CN" w:bidi="ar"/>
        </w:rPr>
        <w:t>安装介质：可运行的系统安装程序、编译后的执行程序、依赖库及安装部署脚本。</w:t>
      </w:r>
    </w:p>
    <w:p w14:paraId="4B60D5D6">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9.3 培训资料：完整的培训课件、操作视频等。</w:t>
      </w:r>
    </w:p>
    <w:p w14:paraId="6AC21D51">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10、培训要求</w:t>
      </w:r>
    </w:p>
    <w:p w14:paraId="1AFC6BD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10.1 中标人须为采购人提供全面的技术培训，确保管理员和操作民警能熟练使用系统。</w:t>
      </w:r>
    </w:p>
    <w:p w14:paraId="31D5A7BB">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10.2 培训内容：包括系统架构、后台管理、数据统计分析、日常维护、故障应急处理等。</w:t>
      </w:r>
    </w:p>
    <w:p w14:paraId="24251828">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10.3 培训方式：提供现场集中培训与个别指导，培训时间不少于【3】个工作日。</w:t>
      </w:r>
    </w:p>
    <w:p w14:paraId="30500F2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10.4 所有培训资料应提供电子版和纸质版。</w:t>
      </w:r>
    </w:p>
    <w:p w14:paraId="454FD971">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11、售后服务与质量保证</w:t>
      </w:r>
    </w:p>
    <w:p w14:paraId="7398FE6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11.1 质量保证期：自项目最终验收合格之日起，提供为期【3】年的整体系统质量保证服务（投标人可承诺更优年限）。质保期内，因产品（软硬件）质量、设计、工艺等问题导致的任何故障、缺陷，中标人须提供修复、更换、升级服务，费用包含在投标报价中。</w:t>
      </w:r>
    </w:p>
    <w:p w14:paraId="6D0A7183">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11.2 软件维护与升级：</w:t>
      </w:r>
    </w:p>
    <w:p w14:paraId="2B93B9A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①</w:t>
      </w:r>
      <w:r>
        <w:rPr>
          <w:rFonts w:hint="eastAsia" w:ascii="宋体" w:hAnsi="宋体" w:cs="宋体"/>
          <w:color w:val="auto"/>
          <w:sz w:val="24"/>
          <w:highlight w:val="none"/>
          <w:lang w:val="en-US" w:eastAsia="zh-CN" w:bidi="ar"/>
        </w:rPr>
        <w:t xml:space="preserve"> 质保期内（自终验合格之日起计算），中标人应提供系统运行维护、故障修复、BUG修补及必要的适应性升级（如因操作系统安全补丁、基础环境变化引起的适配改造），相关费用已包含在投标报价中。</w:t>
      </w:r>
    </w:p>
    <w:p w14:paraId="53BBF0F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②</w:t>
      </w:r>
      <w:r>
        <w:rPr>
          <w:rFonts w:hint="eastAsia" w:ascii="宋体" w:hAnsi="宋体" w:cs="宋体"/>
          <w:color w:val="auto"/>
          <w:sz w:val="24"/>
          <w:highlight w:val="none"/>
          <w:lang w:val="en-US" w:eastAsia="zh-CN" w:bidi="ar"/>
        </w:rPr>
        <w:t xml:space="preserve"> 质保期后，中标人应确保系统架构保持开放、接口标准公开，并提供完整的开发文档、技术接口说明及必要的管理后台入口，以保证采购人能够自行组织开发或委托第三方进行后续升级、功能扩展，避免技术锁定。中标人不得以任何形式设置技术壁垒或限制采购人对系统的自主掌控。</w:t>
      </w:r>
    </w:p>
    <w:p w14:paraId="039CFE55">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11.3 响应与现场服务：</w:t>
      </w:r>
    </w:p>
    <w:p w14:paraId="0419D9F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①</w:t>
      </w:r>
      <w:r>
        <w:rPr>
          <w:rFonts w:hint="eastAsia" w:ascii="宋体" w:hAnsi="宋体" w:cs="宋体"/>
          <w:color w:val="auto"/>
          <w:sz w:val="24"/>
          <w:highlight w:val="none"/>
          <w:lang w:val="en-US" w:eastAsia="zh-CN" w:bidi="ar"/>
        </w:rPr>
        <w:t xml:space="preserve"> 提供7×24小时技术支持热线。</w:t>
      </w:r>
    </w:p>
    <w:p w14:paraId="0E00DE3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②</w:t>
      </w:r>
      <w:r>
        <w:rPr>
          <w:rFonts w:hint="eastAsia" w:ascii="宋体" w:hAnsi="宋体" w:cs="宋体"/>
          <w:color w:val="auto"/>
          <w:sz w:val="24"/>
          <w:highlight w:val="none"/>
          <w:lang w:val="en-US" w:eastAsia="zh-CN" w:bidi="ar"/>
        </w:rPr>
        <w:t xml:space="preserve"> 系统发生严重故障（如系统瘫痪、数据错误）时，中标人须在1小时内响应，4小时内远程介入处理，必要时12小时内派遣工程师到达现场。</w:t>
      </w:r>
    </w:p>
    <w:p w14:paraId="1FCCE4E5">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default" w:ascii="宋体" w:hAnsi="宋体" w:cs="宋体"/>
          <w:color w:val="auto"/>
          <w:sz w:val="24"/>
          <w:highlight w:val="none"/>
          <w:lang w:val="en-US" w:eastAsia="zh-CN" w:bidi="ar"/>
        </w:rPr>
        <w:t>③</w:t>
      </w:r>
      <w:r>
        <w:rPr>
          <w:rFonts w:hint="eastAsia" w:ascii="宋体" w:hAnsi="宋体" w:cs="宋体"/>
          <w:color w:val="auto"/>
          <w:sz w:val="24"/>
          <w:highlight w:val="none"/>
          <w:lang w:val="en-US" w:eastAsia="zh-CN" w:bidi="ar"/>
        </w:rPr>
        <w:t xml:space="preserve"> 一般性故障，应在2小时内响应，8小时内提供解决方案。</w:t>
      </w:r>
    </w:p>
    <w:p w14:paraId="3B8A22A6">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11.4 备品备件：对于核心硬件，中标人应在质保期内提供不低于设备总数【5%】的备用机，用于快速更换，确保业务不间断。</w:t>
      </w:r>
    </w:p>
    <w:p w14:paraId="4E72BC26">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11.5 数据安全与保密：中标人在服务过程中须严格遵守采购人信息安全及保密规定，严禁复制、泄露任何系统数据。应签订保密协议。</w:t>
      </w:r>
    </w:p>
    <w:p w14:paraId="0CC7B69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11.6 持续服务承诺：如中标人发生兼并、分立或产品代理权变更，必须提前通知采购人，并确保本项目的技术支持和维保服务无缝衔接、标准不降。</w:t>
      </w:r>
    </w:p>
    <w:p w14:paraId="10274435">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12、 知识产权</w:t>
      </w:r>
    </w:p>
    <w:p w14:paraId="5D45F20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12.1 采购人拥有为本项目定制开发的“出监教育数字化系统”软件及其相关文档的永久使用权。</w:t>
      </w:r>
    </w:p>
    <w:p w14:paraId="5276FD0C">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12.2采购人付清全款后，拥有软件著作权。</w:t>
      </w:r>
    </w:p>
    <w:p w14:paraId="1B346B22">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12.3 中标人保证所提供的产品及服务不侵犯任何第三方的知识产权，否则承担全部法律责任及给采购人造成的损失。</w:t>
      </w:r>
    </w:p>
    <w:p w14:paraId="7420FDBB">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13、违约责任</w:t>
      </w:r>
    </w:p>
    <w:p w14:paraId="6A90C023">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13.1未按时签订合同采购人、中标人在《中标通知书》发出之日起 30 日内，根据招标文件确定的事项和中标人投标文件，签订合同。双方所签订的合同不得对招标文件和中标人投标文件作实质性修改。中标人逾期未签订合同，按照法规的规定负相应的法律责任；将不予退还投标保证金，以抵偿对采购人造成的损失。</w:t>
      </w:r>
    </w:p>
    <w:p w14:paraId="7AB7BFD3">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13.2解除合同违约责任签订合同后因中标人任何违约行为导致本合同无法正常继续履行或提前终止，采购人有权不予退还履约保证金，中标人还应支付本合同价款20%的违约金，违约金采购人可优先从中标人的货款中扣除。</w:t>
      </w:r>
    </w:p>
    <w:p w14:paraId="6A036264">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13.3逾期交货违约责任因中标人原因逾期交货或未供货完毕的，中标人应以如下方式向采购人支付逾期违约金（不可抗力除外）：</w:t>
      </w:r>
    </w:p>
    <w:p w14:paraId="5D9DFC8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13.3.1初验阶段违约责任：若中标人未能在规定时间内完成所有软件、硬件货物的安装、调试，并通过初步验收（即“完成初验”），则视为逾期交付。每逾期一日，中标人应向采购人支付违约金人民币2000元。若逾期超过15日，采购人有权单方面解除合同，并不予退还中标人的履约保证金。</w:t>
      </w:r>
    </w:p>
    <w:p w14:paraId="0C53C252">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13.3.2试运行与终验阶段违约责任：在通过初验后，若中标人未能在15日历日内开始所有设备的试运行阶段（包括完成软件调试并启动系统试运行），则视为逾期。每逾期一日，中标人应向采购人支付违约金人民币2000元。若逾期超过15日，采购人有权单方面解除合同，并不予退还中标人的履约保证金。最终验收时，如系统核心功能（如课程学习、积分管理、数据存档五年等）缺失或严重不符合招标要求，采购人有权拒收，并要求中标人在限期内整改。整改后仍不达标，采购人有权解除合同。</w:t>
      </w:r>
    </w:p>
    <w:p w14:paraId="651B8F71">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13.4货物质量违约责任中标人提供的货物质量不符合合同（或中标人响应文件）约定的，中标人应无条件予以配合退货换货，因退换货不及时影响采购人工作的，发现一次，中标人应向采购人支付 3000 元违约金；因产品质量问题造成采购人或任何第三方损害的，中标人应承担一切损害赔偿、法律责任，采购人有权单方解除合同，不予退还中标人的履约保证金。违约金可直接从应付货款或履约保证金中扣除，不足部分中标人还须向采购人缴纳；违约金不足以弥补给采购人造成的损失的，中标人还应承担相应的赔偿责任。</w:t>
      </w:r>
    </w:p>
    <w:p w14:paraId="63217DBF">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 xml:space="preserve">13.5货物维修违约责任 </w:t>
      </w:r>
    </w:p>
    <w:p w14:paraId="255687FE">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 xml:space="preserve">13.5.1若中标人违反维保约定，向采购人收取任何费用，采购人有权要求中标人双倍返还所收取的费用，且不免除中标人的维保义务。 </w:t>
      </w:r>
    </w:p>
    <w:p w14:paraId="0FA98614">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 xml:space="preserve">13.5.2质保期内，货物出现故障时，中标人未按售后服务要求响应或到达现场每逾期一次，中标人应向采购人支付违约金人民币1000元；若因故障无法修复且未能在约定时间内提供备用货物，每发生一次，中标人应向采购人支付违约金人民币5000元。该情形持续超过3日的，采购人有权另行采购替代货物，所产生费用由中标人承担。 </w:t>
      </w:r>
    </w:p>
    <w:p w14:paraId="2B5F5FE4">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13.5.3如因产品质量问题使采购人货物出现损坏，中标人在售后质保期内接到采购人维修电话通知后24小时内须派人到采购人单位提供维修或更换服务，如果中标人无法按时提供上门维修或更换服务的，采购人有权请第三方进行维修，产生的费用从中标人的应付货款/履约保证金中扣除；同时中标人应向采购人支付逾期违约金，违约金为逾期每日2000元。因中标人产品质量问题导致采购人人身或财产损失的，中标人应予以赔偿。违约金直接从采购人应支付中标人的费用中扣除，不足部分，中标人应自收到采购人通知之日起5日内缴纳。</w:t>
      </w:r>
    </w:p>
    <w:p w14:paraId="5F0FAD54">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13.6 数据安全与保密违约：</w:t>
      </w:r>
    </w:p>
    <w:p w14:paraId="4901608D">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13.6.1如因中标人原因导致系统数据丢失、泄露或破坏，中标人应立即恢复并承担因此产生的一切后果。同时，应向采购人支付50000元违约金，若造成重大损失，采购人保留进一步追责的权利。</w:t>
      </w:r>
    </w:p>
    <w:p w14:paraId="3059012D">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13.7分包/转包违约责任</w:t>
      </w:r>
    </w:p>
    <w:p w14:paraId="726D1F8F">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中标人不得将本项目进行分包或转包，如发现经查实，采购人有权单方解除合同并不予退还履约保证金，中标人还须向采购人支付</w:t>
      </w:r>
      <w:r>
        <w:rPr>
          <w:rFonts w:hint="eastAsia" w:ascii="宋体" w:hAnsi="宋体" w:cs="宋体"/>
          <w:color w:val="auto"/>
          <w:sz w:val="24"/>
          <w:highlight w:val="none"/>
          <w:lang w:val="en-US" w:eastAsia="zh-CN" w:bidi="ar"/>
        </w:rPr>
        <w:t>50000元</w:t>
      </w:r>
      <w:r>
        <w:rPr>
          <w:rFonts w:hint="eastAsia" w:ascii="宋体" w:hAnsi="宋体" w:cs="宋体"/>
          <w:color w:val="auto"/>
          <w:sz w:val="24"/>
          <w:highlight w:val="none"/>
          <w:lang w:bidi="ar"/>
        </w:rPr>
        <w:t>违约金。违约金直接从采购人应支付中标人的费用中扣除，不足部分，中标人应自收到采购人通知之日起30日内缴纳。</w:t>
      </w:r>
    </w:p>
    <w:p w14:paraId="5F0D9C85">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13.8进入监管区有关违约责任</w:t>
      </w:r>
    </w:p>
    <w:p w14:paraId="2A8FF8C2">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中标人进入采购人和使用单位监管区的工作人员必须遵守采购人的工作制度和监管安全规定，服从采购人人员的指挥，不得为学员传递信息、现金、手机、毒品、枪支、刀具等违禁品、违规品，若有发现经核查属实的，中标人须马上更换工作人员，并视情况向采购人支付20000元的违约金。发生二次（含）以上或造成严重后果的，采购人有权单方解除合同并不予退还履约保证金，中标人还应承担相关的法律责任。违约金直接从采购人应支付中标人的费用中扣除，不足部分，中标人应自收到采购人通知之日起30日内缴纳。</w:t>
      </w:r>
    </w:p>
    <w:p w14:paraId="12554F42">
      <w:pPr>
        <w:tabs>
          <w:tab w:val="left" w:pos="0"/>
        </w:tabs>
        <w:spacing w:line="360" w:lineRule="auto"/>
        <w:ind w:firstLine="480" w:firstLineChars="200"/>
        <w:rPr>
          <w:rFonts w:hint="eastAsia" w:ascii="宋体" w:hAnsi="宋体" w:cs="宋体" w:eastAsiaTheme="minorEastAsia"/>
          <w:color w:val="auto"/>
          <w:sz w:val="24"/>
          <w:highlight w:val="none"/>
          <w:lang w:val="en-US" w:eastAsia="zh-CN" w:bidi="ar"/>
        </w:rPr>
      </w:pPr>
      <w:r>
        <w:rPr>
          <w:rFonts w:hint="eastAsia" w:ascii="宋体" w:hAnsi="宋体" w:cs="宋体"/>
          <w:color w:val="auto"/>
          <w:sz w:val="24"/>
          <w:highlight w:val="none"/>
          <w:lang w:val="en-US" w:eastAsia="zh-CN" w:bidi="ar"/>
        </w:rPr>
        <w:t>13.9</w:t>
      </w:r>
      <w:r>
        <w:rPr>
          <w:rFonts w:hint="eastAsia" w:ascii="宋体" w:hAnsi="宋体" w:cs="宋体" w:eastAsiaTheme="minorEastAsia"/>
          <w:i w:val="0"/>
          <w:iCs w:val="0"/>
          <w:caps w:val="0"/>
          <w:color w:val="auto"/>
          <w:spacing w:val="0"/>
          <w:sz w:val="24"/>
          <w:szCs w:val="24"/>
          <w:highlight w:val="none"/>
          <w:shd w:val="clear"/>
          <w:lang w:bidi="ar"/>
        </w:rPr>
        <w:t>中标人无正当理由拒绝、拖延“功能微调与优化”的，每发生一次支付违约金2000元。需求变更协商或执行无故拖延，每逾期一日支付违约金2000元；未经书面同意擅自变更系统，每发现一次支付违约金5000元，并承担恢复费用及损失</w:t>
      </w:r>
      <w:r>
        <w:rPr>
          <w:rFonts w:hint="eastAsia" w:ascii="宋体" w:hAnsi="宋体" w:cs="宋体" w:eastAsiaTheme="minorEastAsia"/>
          <w:i w:val="0"/>
          <w:iCs w:val="0"/>
          <w:caps w:val="0"/>
          <w:color w:val="auto"/>
          <w:spacing w:val="0"/>
          <w:sz w:val="24"/>
          <w:szCs w:val="24"/>
          <w:highlight w:val="none"/>
          <w:shd w:val="clear"/>
          <w:lang w:eastAsia="zh-CN" w:bidi="ar"/>
        </w:rPr>
        <w:t>。</w:t>
      </w:r>
    </w:p>
    <w:p w14:paraId="121A1F40">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13.10其他违约责任</w:t>
      </w:r>
    </w:p>
    <w:p w14:paraId="547382EA">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若违约事实不属于以上情形，每发生一次，采购人有权要求中标人支付10000元违约金，若造成严重后果的，采购人有权单方解除合同并不予退还其履约保证金，中标人还应承担相关的法律责任。违约金直接从采购人应支付中标人的费用中扣除，不足部分，中标人应自收到采购人通知之日起30日内缴纳。</w:t>
      </w:r>
    </w:p>
    <w:p w14:paraId="1E4C042D">
      <w:pPr>
        <w:tabs>
          <w:tab w:val="left" w:pos="0"/>
        </w:tabs>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13.11诉讼相关费用承担</w:t>
      </w:r>
    </w:p>
    <w:p w14:paraId="6230014D">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若因中标人未履行本合同项下义务导致采购人所产生的一切损失（包括但不限于人身财产的损失、律师费、诉讼费、保全费、鉴定费等），均由中标人承担赔偿责任。</w:t>
      </w:r>
    </w:p>
    <w:p w14:paraId="7F34B33B">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12</w:t>
      </w:r>
      <w:r>
        <w:rPr>
          <w:rFonts w:hint="eastAsia" w:ascii="宋体" w:hAnsi="宋体" w:cs="宋体"/>
          <w:color w:val="auto"/>
          <w:sz w:val="24"/>
          <w:highlight w:val="none"/>
          <w:lang w:bidi="ar"/>
        </w:rPr>
        <w:t>除</w:t>
      </w:r>
      <w:r>
        <w:rPr>
          <w:rFonts w:hint="eastAsia" w:ascii="宋体" w:hAnsi="宋体" w:cs="宋体"/>
          <w:color w:val="auto"/>
          <w:sz w:val="24"/>
          <w:highlight w:val="none"/>
          <w:lang w:val="en-US" w:eastAsia="zh-CN" w:bidi="ar"/>
        </w:rPr>
        <w:t>招标</w:t>
      </w:r>
      <w:r>
        <w:rPr>
          <w:rFonts w:hint="eastAsia" w:ascii="宋体" w:hAnsi="宋体" w:cs="宋体"/>
          <w:color w:val="auto"/>
          <w:sz w:val="24"/>
          <w:highlight w:val="none"/>
          <w:lang w:bidi="ar"/>
        </w:rPr>
        <w:t>文件中已明确的具体违约责任外，</w:t>
      </w:r>
      <w:r>
        <w:rPr>
          <w:rFonts w:hint="eastAsia" w:ascii="宋体" w:hAnsi="宋体" w:cs="宋体"/>
          <w:color w:val="auto"/>
          <w:sz w:val="24"/>
          <w:highlight w:val="none"/>
          <w:lang w:val="en-US" w:eastAsia="zh-CN" w:bidi="ar"/>
        </w:rPr>
        <w:t>中标人</w:t>
      </w:r>
      <w:r>
        <w:rPr>
          <w:rFonts w:hint="eastAsia" w:ascii="宋体" w:hAnsi="宋体" w:cs="宋体"/>
          <w:color w:val="auto"/>
          <w:sz w:val="24"/>
          <w:highlight w:val="none"/>
          <w:lang w:bidi="ar"/>
        </w:rPr>
        <w:t>未履行</w:t>
      </w:r>
      <w:r>
        <w:rPr>
          <w:rFonts w:hint="eastAsia" w:ascii="宋体" w:hAnsi="宋体" w:cs="宋体"/>
          <w:color w:val="auto"/>
          <w:sz w:val="24"/>
          <w:highlight w:val="none"/>
          <w:lang w:val="en-US" w:eastAsia="zh-CN" w:bidi="ar"/>
        </w:rPr>
        <w:t>招标</w:t>
      </w:r>
      <w:r>
        <w:rPr>
          <w:rFonts w:hint="eastAsia" w:ascii="宋体" w:hAnsi="宋体" w:cs="宋体"/>
          <w:color w:val="auto"/>
          <w:sz w:val="24"/>
          <w:highlight w:val="none"/>
          <w:lang w:bidi="ar"/>
        </w:rPr>
        <w:t>文件、合同有关中规定的其他事项或服务要求的，每发现一次，须向采购人支付违约金 1000元。</w:t>
      </w:r>
    </w:p>
    <w:p w14:paraId="081ABD16">
      <w:pPr>
        <w:tabs>
          <w:tab w:val="left" w:pos="0"/>
        </w:tabs>
        <w:spacing w:line="360" w:lineRule="auto"/>
        <w:ind w:firstLine="480" w:firstLineChars="200"/>
        <w:rPr>
          <w:rFonts w:hint="eastAsia" w:ascii="宋体" w:hAnsi="宋体" w:cs="宋体" w:eastAsiaTheme="minorEastAsia"/>
          <w:color w:val="auto"/>
          <w:sz w:val="24"/>
          <w:highlight w:val="none"/>
          <w:lang w:eastAsia="zh-CN"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13</w:t>
      </w:r>
      <w:r>
        <w:rPr>
          <w:rFonts w:hint="eastAsia" w:ascii="宋体" w:hAnsi="宋体" w:cs="宋体"/>
          <w:color w:val="auto"/>
          <w:sz w:val="24"/>
          <w:highlight w:val="none"/>
          <w:lang w:bidi="ar"/>
        </w:rPr>
        <w:t>违约金可直接从应付货款中扣除，不足部分</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还须向采购人缴纳；违约金、赔偿金不足以弥补给采购人造成的损失的，</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还应承担相应的赔偿责任。</w:t>
      </w:r>
      <w:r>
        <w:rPr>
          <w:rFonts w:hint="eastAsia" w:ascii="宋体" w:hAnsi="宋体" w:cs="宋体" w:eastAsiaTheme="minorEastAsia"/>
          <w:i w:val="0"/>
          <w:iCs w:val="0"/>
          <w:caps w:val="0"/>
          <w:color w:val="auto"/>
          <w:spacing w:val="0"/>
          <w:sz w:val="24"/>
          <w:szCs w:val="24"/>
          <w:highlight w:val="none"/>
          <w:shd w:val="clear"/>
          <w:lang w:bidi="ar"/>
        </w:rPr>
        <w:t>全部违约金种类加起来不超过合同金额20%</w:t>
      </w:r>
      <w:r>
        <w:rPr>
          <w:rFonts w:hint="eastAsia" w:ascii="宋体" w:hAnsi="宋体" w:cs="宋体" w:eastAsiaTheme="minorEastAsia"/>
          <w:i w:val="0"/>
          <w:iCs w:val="0"/>
          <w:caps w:val="0"/>
          <w:color w:val="auto"/>
          <w:spacing w:val="0"/>
          <w:sz w:val="24"/>
          <w:szCs w:val="24"/>
          <w:highlight w:val="none"/>
          <w:shd w:val="clear"/>
          <w:lang w:eastAsia="zh-CN" w:bidi="ar"/>
        </w:rPr>
        <w:t>。</w:t>
      </w:r>
    </w:p>
    <w:p w14:paraId="6C358657">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在合同履行期间，若遇到政府部门或上级单位出台有关该项目的政策调整，继续履行合同将违反相关政策文件要求的，采购人须提前30日通知</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终止合同，因此造成的合同解除采购人不承担违约责任。</w:t>
      </w:r>
    </w:p>
    <w:p w14:paraId="75EEF4A7">
      <w:pPr>
        <w:tabs>
          <w:tab w:val="left" w:pos="0"/>
        </w:tabs>
        <w:spacing w:line="360" w:lineRule="auto"/>
        <w:ind w:firstLine="482" w:firstLineChars="200"/>
        <w:rPr>
          <w:rFonts w:hint="eastAsia" w:ascii="宋体" w:hAnsi="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14、专利权及知识产权</w:t>
      </w:r>
    </w:p>
    <w:p w14:paraId="52A963A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val="en-US" w:eastAsia="zh-CN" w:bidi="ar"/>
        </w:rPr>
        <w:t>14.1</w:t>
      </w:r>
      <w:r>
        <w:rPr>
          <w:rFonts w:hint="eastAsia" w:ascii="宋体" w:hAnsi="宋体" w:cs="宋体"/>
          <w:color w:val="auto"/>
          <w:sz w:val="24"/>
          <w:highlight w:val="none"/>
          <w:lang w:eastAsia="zh-CN" w:bidi="ar"/>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141C2136">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14.2</w:t>
      </w:r>
      <w:r>
        <w:rPr>
          <w:rFonts w:hint="eastAsia" w:ascii="宋体" w:hAnsi="宋体" w:cs="宋体"/>
          <w:color w:val="auto"/>
          <w:sz w:val="24"/>
          <w:highlight w:val="none"/>
          <w:lang w:val="zh-CN" w:eastAsia="zh-CN" w:bidi="ar"/>
        </w:rPr>
        <w:t>若</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val="zh-CN" w:eastAsia="zh-CN" w:bidi="ar"/>
        </w:rPr>
        <w:t>提供的采购标的不符合国家知识产权法律、法规的规定或被有关主管机关认定为假冒伪劣品，则采购人有权单方解除与</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val="zh-CN" w:eastAsia="zh-CN" w:bidi="ar"/>
        </w:rPr>
        <w:t>签订的合同；</w:t>
      </w:r>
      <w:r>
        <w:rPr>
          <w:rFonts w:hint="eastAsia" w:ascii="宋体" w:hAnsi="宋体" w:cs="宋体"/>
          <w:color w:val="auto"/>
          <w:sz w:val="24"/>
          <w:highlight w:val="none"/>
          <w:lang w:eastAsia="zh-CN" w:bidi="ar"/>
        </w:rPr>
        <w:t>不予退还</w:t>
      </w:r>
      <w:r>
        <w:rPr>
          <w:rFonts w:hint="eastAsia" w:ascii="宋体" w:hAnsi="宋体" w:cs="宋体"/>
          <w:color w:val="auto"/>
          <w:sz w:val="24"/>
          <w:highlight w:val="none"/>
          <w:lang w:val="zh-CN" w:eastAsia="zh-CN" w:bidi="ar"/>
        </w:rPr>
        <w:t>履约保证金，同时采购人还将按照有关法律、法规和规章的规定进行处理。</w:t>
      </w:r>
    </w:p>
    <w:p w14:paraId="26D42D55">
      <w:pPr>
        <w:tabs>
          <w:tab w:val="left" w:pos="0"/>
        </w:tabs>
        <w:spacing w:line="360" w:lineRule="auto"/>
        <w:ind w:firstLine="482" w:firstLineChars="200"/>
        <w:rPr>
          <w:rFonts w:hint="eastAsia" w:ascii="宋体" w:hAnsi="宋体" w:cs="宋体"/>
          <w:b/>
          <w:bCs/>
          <w:color w:val="auto"/>
          <w:sz w:val="24"/>
          <w:highlight w:val="none"/>
          <w:lang w:bidi="ar"/>
        </w:rPr>
      </w:pPr>
      <w:r>
        <w:rPr>
          <w:rFonts w:hint="eastAsia" w:ascii="宋体" w:hAnsi="宋体" w:cs="宋体"/>
          <w:b/>
          <w:bCs/>
          <w:color w:val="auto"/>
          <w:sz w:val="24"/>
          <w:highlight w:val="none"/>
          <w:lang w:bidi="ar"/>
        </w:rPr>
        <w:t>1</w:t>
      </w:r>
      <w:r>
        <w:rPr>
          <w:rFonts w:hint="eastAsia" w:ascii="宋体" w:hAnsi="宋体" w:cs="宋体"/>
          <w:b/>
          <w:bCs/>
          <w:color w:val="auto"/>
          <w:sz w:val="24"/>
          <w:highlight w:val="none"/>
          <w:lang w:val="en-US" w:eastAsia="zh-CN" w:bidi="ar"/>
        </w:rPr>
        <w:t>5</w:t>
      </w:r>
      <w:r>
        <w:rPr>
          <w:rFonts w:hint="eastAsia" w:ascii="宋体" w:hAnsi="宋体" w:cs="宋体"/>
          <w:b/>
          <w:bCs/>
          <w:color w:val="auto"/>
          <w:sz w:val="24"/>
          <w:highlight w:val="none"/>
          <w:lang w:bidi="ar"/>
        </w:rPr>
        <w:t>、不可抗力</w:t>
      </w:r>
    </w:p>
    <w:p w14:paraId="7ED81344">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15</w:t>
      </w:r>
      <w:r>
        <w:rPr>
          <w:rFonts w:hint="eastAsia" w:ascii="宋体" w:hAnsi="宋体" w:cs="宋体"/>
          <w:color w:val="auto"/>
          <w:sz w:val="24"/>
          <w:highlight w:val="none"/>
          <w:lang w:bidi="ar"/>
        </w:rPr>
        <w:t>.1因不可抗力造成违约的，遭受不可抗力一方应及时向对方通报不能履行或不能完全履行的理由，并在随后取得有关主管机关证明后的 15 个工作日内向另一方提供不可抗力发生以及持续期间的充分证据。基于以上行为，允许遭受不可抗力一方延期履行、部分履行或者不履行合同，并根据情况可部分或全部免于承担违约责任。</w:t>
      </w:r>
    </w:p>
    <w:p w14:paraId="64D69561">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.2不可抗力指不能预见、不能避免并不能克服的客观情况。包括但不限于： 自然灾害 如地震、台风、洪水、火灾；政府行为、法律规定或其适用的变化或者其他任何无法预见、避免或者控制的事件。</w:t>
      </w:r>
    </w:p>
    <w:p w14:paraId="5B9F5244">
      <w:pPr>
        <w:tabs>
          <w:tab w:val="left" w:pos="0"/>
        </w:tabs>
        <w:spacing w:line="360" w:lineRule="auto"/>
        <w:ind w:firstLine="482" w:firstLineChars="200"/>
        <w:rPr>
          <w:rFonts w:hint="eastAsia" w:ascii="宋体" w:hAnsi="宋体" w:cs="宋体"/>
          <w:b/>
          <w:bCs/>
          <w:color w:val="auto"/>
          <w:sz w:val="24"/>
          <w:highlight w:val="none"/>
          <w:lang w:bidi="ar"/>
        </w:rPr>
      </w:pPr>
      <w:r>
        <w:rPr>
          <w:rFonts w:hint="eastAsia" w:ascii="宋体" w:hAnsi="宋体" w:cs="宋体"/>
          <w:b/>
          <w:bCs/>
          <w:color w:val="auto"/>
          <w:sz w:val="24"/>
          <w:highlight w:val="none"/>
          <w:lang w:bidi="ar"/>
        </w:rPr>
        <w:t>1</w:t>
      </w:r>
      <w:r>
        <w:rPr>
          <w:rFonts w:hint="eastAsia" w:ascii="宋体" w:hAnsi="宋体" w:cs="宋体"/>
          <w:b/>
          <w:bCs/>
          <w:color w:val="auto"/>
          <w:sz w:val="24"/>
          <w:highlight w:val="none"/>
          <w:lang w:val="en-US" w:eastAsia="zh-CN" w:bidi="ar"/>
        </w:rPr>
        <w:t>6</w:t>
      </w:r>
      <w:r>
        <w:rPr>
          <w:rFonts w:hint="eastAsia" w:ascii="宋体" w:hAnsi="宋体" w:cs="宋体"/>
          <w:b/>
          <w:bCs/>
          <w:color w:val="auto"/>
          <w:sz w:val="24"/>
          <w:highlight w:val="none"/>
          <w:lang w:bidi="ar"/>
        </w:rPr>
        <w:t>、保密条款</w:t>
      </w:r>
    </w:p>
    <w:p w14:paraId="19E6DEC7">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.1</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在履行合同中知悉的或收到的对方的财务、技术、产品信息、民警资料或其他工作上的文件资料、工作内容等予以保密，不得向本合同以外的任何第三方披露，签订并严格执行《单位保密承诺书》；进入采购人工作区域的工作人员需签订《个人保密承诺书》，严格履行保密义务。</w:t>
      </w:r>
    </w:p>
    <w:p w14:paraId="0C57EBE4">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.2违反本条约定泄露采购人的涉密信息的，应承担相应的法律责任，造成采购人损失的，应承担赔偿责任。</w:t>
      </w:r>
    </w:p>
    <w:p w14:paraId="1EB57DCD">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.3本条款不因合同届满或解除而失效。</w:t>
      </w:r>
    </w:p>
    <w:p w14:paraId="4C6E8986">
      <w:pPr>
        <w:tabs>
          <w:tab w:val="left" w:pos="0"/>
        </w:tabs>
        <w:spacing w:line="360" w:lineRule="auto"/>
        <w:ind w:firstLine="482" w:firstLineChars="200"/>
        <w:rPr>
          <w:rFonts w:hint="eastAsia" w:ascii="宋体" w:hAnsi="宋体" w:cs="宋体"/>
          <w:b/>
          <w:bCs/>
          <w:color w:val="auto"/>
          <w:sz w:val="24"/>
          <w:highlight w:val="none"/>
          <w:lang w:bidi="ar"/>
        </w:rPr>
      </w:pPr>
      <w:r>
        <w:rPr>
          <w:rFonts w:hint="eastAsia" w:ascii="宋体" w:hAnsi="宋体" w:cs="宋体"/>
          <w:b/>
          <w:bCs/>
          <w:color w:val="auto"/>
          <w:sz w:val="24"/>
          <w:highlight w:val="none"/>
          <w:lang w:bidi="ar"/>
        </w:rPr>
        <w:t>1</w:t>
      </w:r>
      <w:r>
        <w:rPr>
          <w:rFonts w:hint="eastAsia" w:ascii="宋体" w:hAnsi="宋体" w:cs="宋体"/>
          <w:b/>
          <w:bCs/>
          <w:color w:val="auto"/>
          <w:sz w:val="24"/>
          <w:highlight w:val="none"/>
          <w:lang w:val="en-US" w:eastAsia="zh-CN" w:bidi="ar"/>
        </w:rPr>
        <w:t>7</w:t>
      </w:r>
      <w:r>
        <w:rPr>
          <w:rFonts w:hint="eastAsia" w:ascii="宋体" w:hAnsi="宋体" w:cs="宋体"/>
          <w:b/>
          <w:bCs/>
          <w:color w:val="auto"/>
          <w:sz w:val="24"/>
          <w:highlight w:val="none"/>
          <w:lang w:bidi="ar"/>
        </w:rPr>
        <w:t>、廉政条款</w:t>
      </w:r>
    </w:p>
    <w:p w14:paraId="4131D0F8">
      <w:pPr>
        <w:tabs>
          <w:tab w:val="left" w:pos="0"/>
        </w:tabs>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须与采购人签订《廉政合同》，</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及其工作人员不得有任何形式行贿采购人工作人员的行为，若发现并被核查属实的，采购人有权解除合同，情节严重的，</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及其工作人员还要承担相应的法律责任；采购人及其工作人员不得索要或接受</w:t>
      </w:r>
      <w:r>
        <w:rPr>
          <w:rFonts w:hint="eastAsia" w:ascii="宋体" w:hAnsi="宋体" w:cs="宋体"/>
          <w:color w:val="auto"/>
          <w:sz w:val="24"/>
          <w:highlight w:val="none"/>
          <w:lang w:eastAsia="zh-CN" w:bidi="ar"/>
        </w:rPr>
        <w:t>中标人</w:t>
      </w:r>
      <w:r>
        <w:rPr>
          <w:rFonts w:hint="eastAsia" w:ascii="宋体" w:hAnsi="宋体" w:cs="宋体"/>
          <w:color w:val="auto"/>
          <w:sz w:val="24"/>
          <w:highlight w:val="none"/>
          <w:lang w:bidi="ar"/>
        </w:rPr>
        <w:t>的礼金及吃请等，如有违反廉政纪律等。</w:t>
      </w:r>
    </w:p>
    <w:p w14:paraId="0773538F">
      <w:pPr>
        <w:tabs>
          <w:tab w:val="left" w:pos="0"/>
        </w:tabs>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1</w:t>
      </w:r>
      <w:r>
        <w:rPr>
          <w:rFonts w:hint="eastAsia" w:ascii="宋体" w:hAnsi="宋体" w:cs="宋体"/>
          <w:b/>
          <w:bCs/>
          <w:color w:val="auto"/>
          <w:sz w:val="24"/>
          <w:highlight w:val="none"/>
          <w:lang w:val="en-US" w:eastAsia="zh-CN" w:bidi="ar"/>
        </w:rPr>
        <w:t>8</w:t>
      </w:r>
      <w:r>
        <w:rPr>
          <w:rFonts w:hint="eastAsia" w:ascii="宋体" w:hAnsi="宋体" w:cs="宋体"/>
          <w:b/>
          <w:bCs/>
          <w:color w:val="auto"/>
          <w:sz w:val="24"/>
          <w:highlight w:val="none"/>
          <w:lang w:bidi="ar"/>
        </w:rPr>
        <w:t>、</w:t>
      </w:r>
      <w:r>
        <w:rPr>
          <w:rFonts w:ascii="宋体" w:hAnsi="宋体" w:cs="宋体"/>
          <w:b/>
          <w:bCs/>
          <w:color w:val="auto"/>
          <w:sz w:val="24"/>
          <w:highlight w:val="none"/>
          <w:lang w:bidi="ar"/>
        </w:rPr>
        <w:t>合同纠纷处理方式</w:t>
      </w:r>
    </w:p>
    <w:p w14:paraId="0CD6086F">
      <w:pPr>
        <w:tabs>
          <w:tab w:val="left" w:pos="0"/>
        </w:tabs>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.1</w:t>
      </w:r>
      <w:r>
        <w:rPr>
          <w:rFonts w:ascii="宋体" w:hAnsi="宋体" w:cs="宋体"/>
          <w:color w:val="auto"/>
          <w:sz w:val="24"/>
          <w:highlight w:val="none"/>
          <w:lang w:bidi="ar"/>
        </w:rPr>
        <w:t>合同争议处理方式</w:t>
      </w:r>
    </w:p>
    <w:p w14:paraId="3FA67ED0">
      <w:pPr>
        <w:tabs>
          <w:tab w:val="left" w:pos="0"/>
        </w:tabs>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lang w:bidi="ar"/>
        </w:rPr>
        <w:t>采购人及</w:t>
      </w:r>
      <w:r>
        <w:rPr>
          <w:rFonts w:hint="eastAsia" w:ascii="宋体" w:hAnsi="宋体" w:cs="宋体"/>
          <w:color w:val="auto"/>
          <w:sz w:val="24"/>
          <w:highlight w:val="none"/>
          <w:lang w:eastAsia="zh-CN" w:bidi="ar"/>
        </w:rPr>
        <w:t>中标人</w:t>
      </w:r>
      <w:r>
        <w:rPr>
          <w:rFonts w:ascii="宋体" w:hAnsi="宋体" w:cs="宋体"/>
          <w:color w:val="auto"/>
          <w:sz w:val="24"/>
          <w:highlight w:val="none"/>
          <w:lang w:bidi="ar"/>
        </w:rPr>
        <w:t>双方必须认真履行合同条款。因本合同或与本合同有关的一切事项发生争议，由双方友好协商解决，协商不成的，任何一方均可向采购人所在地人民法院提起诉讼。</w:t>
      </w:r>
    </w:p>
    <w:p w14:paraId="5FF87E7F">
      <w:pPr>
        <w:tabs>
          <w:tab w:val="left" w:pos="0"/>
        </w:tabs>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.2</w:t>
      </w:r>
      <w:r>
        <w:rPr>
          <w:rFonts w:ascii="宋体" w:hAnsi="宋体" w:cs="宋体"/>
          <w:color w:val="auto"/>
          <w:sz w:val="24"/>
          <w:highlight w:val="none"/>
          <w:lang w:bidi="ar"/>
        </w:rPr>
        <w:t>诉讼相关费用承担</w:t>
      </w:r>
    </w:p>
    <w:p w14:paraId="39A08E28">
      <w:pPr>
        <w:tabs>
          <w:tab w:val="left" w:pos="0"/>
        </w:tabs>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lang w:bidi="ar"/>
        </w:rPr>
        <w:t>若因</w:t>
      </w:r>
      <w:r>
        <w:rPr>
          <w:rFonts w:hint="eastAsia" w:ascii="宋体" w:hAnsi="宋体" w:cs="宋体"/>
          <w:color w:val="auto"/>
          <w:sz w:val="24"/>
          <w:highlight w:val="none"/>
          <w:lang w:eastAsia="zh-CN" w:bidi="ar"/>
        </w:rPr>
        <w:t>中标人</w:t>
      </w:r>
      <w:r>
        <w:rPr>
          <w:rFonts w:ascii="宋体" w:hAnsi="宋体" w:cs="宋体"/>
          <w:color w:val="auto"/>
          <w:sz w:val="24"/>
          <w:highlight w:val="none"/>
          <w:lang w:bidi="ar"/>
        </w:rPr>
        <w:t>未履行合同项下义务导致采购人所产生的一切损失（包括但不限于人身财产的损失、律师费、诉讼费、保全费、鉴定费等），均由</w:t>
      </w:r>
      <w:r>
        <w:rPr>
          <w:rFonts w:hint="eastAsia" w:ascii="宋体" w:hAnsi="宋体" w:cs="宋体"/>
          <w:color w:val="auto"/>
          <w:sz w:val="24"/>
          <w:highlight w:val="none"/>
          <w:lang w:eastAsia="zh-CN" w:bidi="ar"/>
        </w:rPr>
        <w:t>中标人</w:t>
      </w:r>
      <w:r>
        <w:rPr>
          <w:rFonts w:ascii="宋体" w:hAnsi="宋体" w:cs="宋体"/>
          <w:color w:val="auto"/>
          <w:sz w:val="24"/>
          <w:highlight w:val="none"/>
          <w:lang w:bidi="ar"/>
        </w:rPr>
        <w:t>承担赔偿责任。</w:t>
      </w:r>
    </w:p>
    <w:p w14:paraId="24260023">
      <w:pPr>
        <w:tabs>
          <w:tab w:val="left" w:pos="0"/>
        </w:tabs>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.3</w:t>
      </w:r>
      <w:r>
        <w:rPr>
          <w:rFonts w:ascii="宋体" w:hAnsi="宋体" w:cs="宋体"/>
          <w:color w:val="auto"/>
          <w:sz w:val="24"/>
          <w:highlight w:val="none"/>
          <w:lang w:bidi="ar"/>
        </w:rPr>
        <w:t>合同补充和修改</w:t>
      </w:r>
    </w:p>
    <w:p w14:paraId="65EDA72B">
      <w:pPr>
        <w:tabs>
          <w:tab w:val="left" w:pos="0"/>
        </w:tabs>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lang w:bidi="ar"/>
        </w:rPr>
        <w:t>本合同生效后，双方对合同内容的变更或补充应采取书面形式，并经双方签字并盖章确认。</w:t>
      </w:r>
    </w:p>
    <w:p w14:paraId="5DF90394">
      <w:pPr>
        <w:tabs>
          <w:tab w:val="left" w:pos="0"/>
        </w:tabs>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1</w:t>
      </w:r>
      <w:r>
        <w:rPr>
          <w:rFonts w:hint="eastAsia" w:ascii="宋体" w:hAnsi="宋体" w:cs="宋体"/>
          <w:b/>
          <w:bCs/>
          <w:color w:val="auto"/>
          <w:sz w:val="24"/>
          <w:highlight w:val="none"/>
          <w:lang w:val="en-US" w:eastAsia="zh-CN" w:bidi="ar"/>
        </w:rPr>
        <w:t>9</w:t>
      </w:r>
      <w:r>
        <w:rPr>
          <w:rFonts w:hint="eastAsia" w:ascii="宋体" w:hAnsi="宋体" w:cs="宋体"/>
          <w:b/>
          <w:bCs/>
          <w:color w:val="auto"/>
          <w:sz w:val="24"/>
          <w:highlight w:val="none"/>
          <w:lang w:bidi="ar"/>
        </w:rPr>
        <w:t>、</w:t>
      </w:r>
      <w:r>
        <w:rPr>
          <w:rFonts w:ascii="宋体" w:hAnsi="宋体" w:cs="宋体"/>
          <w:b/>
          <w:bCs/>
          <w:color w:val="auto"/>
          <w:sz w:val="24"/>
          <w:highlight w:val="none"/>
          <w:lang w:bidi="ar"/>
        </w:rPr>
        <w:t>说明</w:t>
      </w:r>
    </w:p>
    <w:p w14:paraId="4F305A2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9</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1</w:t>
      </w:r>
      <w:r>
        <w:rPr>
          <w:rFonts w:ascii="宋体" w:hAnsi="宋体" w:cs="宋体"/>
          <w:color w:val="auto"/>
          <w:sz w:val="24"/>
          <w:highlight w:val="none"/>
          <w:lang w:bidi="ar"/>
        </w:rPr>
        <w:t>上述条款凡是涉及“造成采购人损失的，还应赔偿采购人的损失”中的损失包括但不限于直接损失、间接损失、采购人为追索支付的律师代理费、差旅费、诉讼费、保全费、鉴定费、评估费等。</w:t>
      </w:r>
    </w:p>
    <w:p w14:paraId="36C2A8E7">
      <w:pPr>
        <w:spacing w:line="360" w:lineRule="auto"/>
        <w:ind w:firstLine="480" w:firstLineChars="200"/>
        <w:rPr>
          <w:rFonts w:hint="eastAsia" w:ascii="宋体" w:hAnsi="宋体" w:eastAsia="宋体" w:cs="宋体"/>
          <w:color w:val="auto"/>
          <w:sz w:val="24"/>
        </w:rPr>
      </w:pPr>
    </w:p>
    <w:p w14:paraId="0030C1C0">
      <w:pPr>
        <w:pStyle w:val="18"/>
        <w:widowControl/>
        <w:spacing w:beforeAutospacing="0" w:afterAutospacing="0" w:line="480" w:lineRule="atLeast"/>
        <w:ind w:firstLine="420"/>
        <w:jc w:val="both"/>
        <w:outlineLvl w:val="1"/>
        <w:rPr>
          <w:rFonts w:ascii="Calibri" w:hAnsi="Calibri" w:eastAsia="宋体"/>
          <w:color w:val="auto"/>
          <w:lang w:val="zh-CN" w:bidi="ar"/>
        </w:rPr>
      </w:pPr>
      <w:bookmarkStart w:id="38" w:name="_Toc18960"/>
      <w:bookmarkStart w:id="39" w:name="_Toc3138"/>
      <w:r>
        <w:rPr>
          <w:rFonts w:hint="eastAsia" w:ascii="Calibri" w:hAnsi="Calibri" w:eastAsia="宋体"/>
          <w:b/>
          <w:bCs/>
          <w:color w:val="auto"/>
          <w:lang w:val="zh-CN" w:bidi="ar"/>
        </w:rPr>
        <w:t>四、其他事项</w:t>
      </w:r>
      <w:bookmarkEnd w:id="38"/>
      <w:bookmarkEnd w:id="39"/>
    </w:p>
    <w:p w14:paraId="374666C8">
      <w:pPr>
        <w:pStyle w:val="18"/>
        <w:widowControl/>
        <w:spacing w:beforeAutospacing="0" w:afterAutospacing="0" w:line="480" w:lineRule="atLeast"/>
        <w:ind w:firstLine="420"/>
        <w:jc w:val="both"/>
        <w:rPr>
          <w:rFonts w:ascii="Calibri" w:hAnsi="Calibri" w:eastAsia="宋体"/>
          <w:color w:val="000000"/>
          <w:lang w:val="zh-CN" w:bidi="ar"/>
        </w:rPr>
      </w:pPr>
      <w:r>
        <w:rPr>
          <w:rFonts w:hint="eastAsia" w:ascii="Calibri" w:hAnsi="Calibri" w:eastAsia="宋体"/>
          <w:color w:val="auto"/>
          <w:lang w:val="zh-CN" w:bidi="ar"/>
        </w:rPr>
        <w:t>1、除招标文件另有规定外，若出现有关法律、法规和规章有强制性规定但招标文件未列明的情形，则投标人应按照有关法律、法规</w:t>
      </w:r>
      <w:r>
        <w:rPr>
          <w:rFonts w:hint="eastAsia" w:ascii="Calibri" w:hAnsi="Calibri" w:eastAsia="宋体"/>
          <w:color w:val="000000"/>
          <w:lang w:val="zh-CN" w:bidi="ar"/>
        </w:rPr>
        <w:t>和规章强制性规定执行。</w:t>
      </w:r>
    </w:p>
    <w:p w14:paraId="2D370B40">
      <w:pPr>
        <w:spacing w:line="360" w:lineRule="auto"/>
        <w:ind w:firstLine="480" w:firstLineChars="200"/>
        <w:rPr>
          <w:rFonts w:hint="eastAsia" w:ascii="宋体" w:hAnsi="宋体" w:eastAsia="宋体" w:cs="宋体"/>
          <w:sz w:val="24"/>
        </w:rPr>
      </w:pPr>
      <w:r>
        <w:rPr>
          <w:rFonts w:hint="eastAsia" w:ascii="宋体" w:hAnsi="宋体" w:eastAsia="宋体" w:cs="宋体"/>
          <w:sz w:val="24"/>
        </w:rPr>
        <w:t>2、其他：</w:t>
      </w:r>
    </w:p>
    <w:p w14:paraId="5524A5F3">
      <w:pPr>
        <w:spacing w:line="360" w:lineRule="auto"/>
        <w:ind w:firstLine="480" w:firstLineChars="200"/>
        <w:rPr>
          <w:rFonts w:ascii="Calibri" w:hAnsi="Calibri" w:eastAsia="宋体" w:cs="Times New Roman"/>
          <w:color w:val="000000"/>
          <w:kern w:val="0"/>
          <w:sz w:val="24"/>
          <w:lang w:val="zh-CN" w:bidi="ar"/>
        </w:rPr>
      </w:pPr>
      <w:r>
        <w:rPr>
          <w:rFonts w:hint="eastAsia" w:ascii="宋体" w:hAnsi="宋体" w:eastAsia="宋体" w:cs="宋体"/>
          <w:sz w:val="24"/>
        </w:rPr>
        <w:t>2.1本招标文件未明确的其它约定事项或条款，待采购人与中标人签订合同时，由双方协商订立。</w:t>
      </w:r>
      <w:r>
        <w:rPr>
          <w:rFonts w:hint="eastAsia" w:ascii="Calibri" w:hAnsi="Calibri" w:eastAsia="宋体" w:cs="Times New Roman"/>
          <w:color w:val="000000"/>
          <w:kern w:val="0"/>
          <w:sz w:val="24"/>
          <w:lang w:val="zh-CN" w:bidi="ar"/>
        </w:rPr>
        <w:br w:type="page"/>
      </w:r>
    </w:p>
    <w:bookmarkEnd w:id="32"/>
    <w:p w14:paraId="7F2C71EE">
      <w:pPr>
        <w:widowControl/>
        <w:shd w:val="clear" w:color="auto" w:fill="FFFFFF"/>
        <w:jc w:val="center"/>
        <w:outlineLvl w:val="0"/>
        <w:rPr>
          <w:rFonts w:hint="eastAsia" w:ascii="宋体" w:hAnsi="宋体" w:eastAsia="宋体" w:cs="宋体"/>
          <w:b/>
          <w:bCs/>
          <w:color w:val="333333"/>
          <w:sz w:val="39"/>
          <w:szCs w:val="39"/>
        </w:rPr>
      </w:pPr>
      <w:bookmarkStart w:id="40" w:name="_Toc28015"/>
      <w:r>
        <w:rPr>
          <w:rStyle w:val="26"/>
          <w:rFonts w:hint="eastAsia" w:ascii="宋体" w:hAnsi="宋体" w:eastAsia="宋体" w:cs="宋体"/>
          <w:bCs/>
          <w:color w:val="000000"/>
          <w:kern w:val="0"/>
          <w:sz w:val="32"/>
          <w:szCs w:val="32"/>
          <w:lang w:bidi="ar"/>
        </w:rPr>
        <w:t>第六章 政府采购合同</w:t>
      </w:r>
      <w:bookmarkEnd w:id="40"/>
    </w:p>
    <w:p w14:paraId="7BB4A26E">
      <w:pPr>
        <w:widowControl/>
        <w:shd w:val="clear" w:color="auto" w:fill="FFFFFF"/>
        <w:spacing w:line="360" w:lineRule="exact"/>
        <w:jc w:val="center"/>
        <w:rPr>
          <w:rFonts w:hint="eastAsia" w:ascii="宋体" w:hAnsi="宋体" w:eastAsia="宋体" w:cs="宋体"/>
          <w:b/>
          <w:bCs/>
          <w:color w:val="333333"/>
          <w:sz w:val="24"/>
        </w:rPr>
      </w:pPr>
      <w:r>
        <w:rPr>
          <w:rFonts w:hint="eastAsia" w:ascii="宋体" w:hAnsi="宋体" w:eastAsia="宋体" w:cs="宋体"/>
          <w:b/>
          <w:bCs/>
          <w:color w:val="333333"/>
          <w:sz w:val="24"/>
          <w:shd w:val="clear" w:color="auto" w:fill="FFFFFF"/>
        </w:rPr>
        <w:t>参考文本</w:t>
      </w:r>
    </w:p>
    <w:p w14:paraId="2776886C">
      <w:pPr>
        <w:pStyle w:val="18"/>
        <w:widowControl/>
        <w:spacing w:beforeAutospacing="0" w:line="360" w:lineRule="exact"/>
        <w:jc w:val="right"/>
        <w:rPr>
          <w:rFonts w:hint="eastAsia" w:ascii="宋体" w:hAnsi="宋体" w:eastAsia="宋体" w:cs="宋体"/>
          <w:b/>
          <w:bCs/>
        </w:rPr>
      </w:pPr>
      <w:r>
        <w:rPr>
          <w:rFonts w:hint="eastAsia" w:ascii="宋体" w:hAnsi="宋体" w:eastAsia="宋体" w:cs="宋体"/>
          <w:b/>
          <w:bCs/>
        </w:rPr>
        <w:t>合同编号：</w:t>
      </w:r>
    </w:p>
    <w:p w14:paraId="2101B779">
      <w:pPr>
        <w:tabs>
          <w:tab w:val="left" w:pos="0"/>
        </w:tabs>
        <w:spacing w:line="360" w:lineRule="auto"/>
        <w:ind w:firstLine="643" w:firstLineChars="200"/>
        <w:jc w:val="center"/>
        <w:rPr>
          <w:rFonts w:hint="eastAsia" w:ascii="宋体" w:hAnsi="宋体" w:eastAsia="宋体" w:cs="宋体"/>
          <w:b/>
          <w:bCs/>
          <w:color w:val="auto"/>
          <w:sz w:val="32"/>
          <w:szCs w:val="32"/>
          <w:highlight w:val="none"/>
          <w:lang w:eastAsia="zh-CN" w:bidi="ar"/>
        </w:rPr>
      </w:pPr>
      <w:bookmarkStart w:id="41" w:name="_Toc29406"/>
      <w:r>
        <w:rPr>
          <w:rFonts w:hint="eastAsia" w:ascii="宋体" w:hAnsi="宋体" w:eastAsia="宋体" w:cs="宋体"/>
          <w:b/>
          <w:bCs/>
          <w:color w:val="auto"/>
          <w:sz w:val="32"/>
          <w:szCs w:val="32"/>
          <w:highlight w:val="none"/>
          <w:lang w:eastAsia="zh-CN" w:bidi="ar"/>
        </w:rPr>
        <w:t>福建省政府采购合同（服务类）</w:t>
      </w:r>
    </w:p>
    <w:p w14:paraId="703A146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编制说明</w:t>
      </w:r>
    </w:p>
    <w:p w14:paraId="5E8AE47B">
      <w:pPr>
        <w:tabs>
          <w:tab w:val="left" w:pos="0"/>
        </w:tabs>
        <w:spacing w:line="360" w:lineRule="auto"/>
        <w:ind w:firstLine="480" w:firstLineChars="200"/>
        <w:rPr>
          <w:rFonts w:hint="eastAsia" w:ascii="宋体" w:hAnsi="宋体" w:cs="宋体"/>
          <w:color w:val="auto"/>
          <w:sz w:val="24"/>
          <w:highlight w:val="none"/>
          <w:lang w:eastAsia="zh-CN" w:bidi="ar"/>
        </w:rPr>
      </w:pPr>
    </w:p>
    <w:p w14:paraId="2F725DA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1.签订合同应遵守《中华人民共和国政府采购法》及其实施条例、《中华人民共和国民法典》等法律法规及其他有关规定。</w:t>
      </w:r>
    </w:p>
    <w:p w14:paraId="6DA5244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2.签订合同时，采购人与中标(成交)人应结合采购文件规定填列相应内容。采购文件已有约定的，双方均不得对约定进行变更或调整；采购文件未作规定的，双方可通过友好协商进行约定。</w:t>
      </w:r>
    </w:p>
    <w:p w14:paraId="7F29EB4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3.政府有关主管部门对若干合同有规范文本的，可使用相应合同文本。</w:t>
      </w:r>
    </w:p>
    <w:p w14:paraId="1D280570">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4.本合同范本仅供参考，采购人应当根据采购项目的实际需求对合同条款进行修改、补充。</w:t>
      </w:r>
    </w:p>
    <w:p w14:paraId="60196F8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甲方：</w:t>
      </w:r>
    </w:p>
    <w:p w14:paraId="05747D0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住所地：________________</w:t>
      </w:r>
    </w:p>
    <w:p w14:paraId="0316287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联系人：________________</w:t>
      </w:r>
    </w:p>
    <w:p w14:paraId="2CFD134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联系电话：______________</w:t>
      </w:r>
    </w:p>
    <w:p w14:paraId="2E9ED07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传真：________________</w:t>
      </w:r>
    </w:p>
    <w:p w14:paraId="07E0EB9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电子邮箱：________________</w:t>
      </w:r>
    </w:p>
    <w:p w14:paraId="5B106DB7">
      <w:pPr>
        <w:tabs>
          <w:tab w:val="left" w:pos="0"/>
        </w:tabs>
        <w:spacing w:line="360" w:lineRule="auto"/>
        <w:ind w:firstLine="480" w:firstLineChars="200"/>
        <w:rPr>
          <w:rFonts w:hint="eastAsia" w:ascii="宋体" w:hAnsi="宋体" w:cs="宋体"/>
          <w:color w:val="auto"/>
          <w:sz w:val="24"/>
          <w:highlight w:val="none"/>
          <w:lang w:eastAsia="zh-CN" w:bidi="ar"/>
        </w:rPr>
      </w:pPr>
    </w:p>
    <w:p w14:paraId="7213777B">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乙方： ________________</w:t>
      </w:r>
    </w:p>
    <w:p w14:paraId="5891766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住所地： ________________</w:t>
      </w:r>
    </w:p>
    <w:p w14:paraId="6EAC56E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联系人：______________</w:t>
      </w:r>
    </w:p>
    <w:p w14:paraId="4A8F2AC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联系电话：______________</w:t>
      </w:r>
    </w:p>
    <w:p w14:paraId="4850FC12">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传真：________________</w:t>
      </w:r>
    </w:p>
    <w:p w14:paraId="59C1AE4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电子邮箱：________________</w:t>
      </w:r>
    </w:p>
    <w:p w14:paraId="3CF700D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根据项目编号为___________ 的 __________项目（以下简称：“本项目”）的采购结果，遵循平等、自愿、公平和诚实信用的原则，双方签署本合同，具体内容如下：</w:t>
      </w:r>
    </w:p>
    <w:p w14:paraId="01FC0AD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一、合同组成部分</w:t>
      </w:r>
    </w:p>
    <w:p w14:paraId="0A7DC19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1.1本合同条款及附件；</w:t>
      </w:r>
    </w:p>
    <w:p w14:paraId="41D1317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1.2采购文件及其附件、补充文件；</w:t>
      </w:r>
    </w:p>
    <w:p w14:paraId="53DE69F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1.3乙方的响应文件及其附件、补充文件；</w:t>
      </w:r>
    </w:p>
    <w:p w14:paraId="4B570AC2">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1.4其他文件或材料：</w:t>
      </w:r>
    </w:p>
    <w:p w14:paraId="399E2F8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二、合同标的</w:t>
      </w:r>
    </w:p>
    <w:p w14:paraId="03D43C0E">
      <w:pPr>
        <w:tabs>
          <w:tab w:val="left" w:pos="0"/>
        </w:tabs>
        <w:spacing w:line="360" w:lineRule="auto"/>
        <w:ind w:firstLine="480" w:firstLineChars="200"/>
        <w:rPr>
          <w:rFonts w:hint="eastAsia" w:ascii="宋体" w:hAnsi="宋体" w:cs="宋体"/>
          <w:color w:val="auto"/>
          <w:sz w:val="24"/>
          <w:highlight w:val="none"/>
          <w:lang w:eastAsia="zh-CN" w:bidi="ar"/>
        </w:rPr>
      </w:pPr>
    </w:p>
    <w:p w14:paraId="46407602">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三、价格形式及合同价款</w:t>
      </w:r>
    </w:p>
    <w:p w14:paraId="1CA33E2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3.1价格形式</w:t>
      </w:r>
    </w:p>
    <w:p w14:paraId="5969E5E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 固定单价合同。完成约定服务事项的含税合同单价为：人民币（大写）元（￥ _____________元）。</w:t>
      </w:r>
    </w:p>
    <w:p w14:paraId="29DBC2B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 固定总价合同。完成约定服务事项的含税服务费用为：人民币（大写）元（￥_____________ 元）。</w:t>
      </w:r>
    </w:p>
    <w:p w14:paraId="12DD3B1C">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 其他方式。</w:t>
      </w:r>
    </w:p>
    <w:p w14:paraId="13D4FF0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3.2合同价款包含范围</w:t>
      </w:r>
    </w:p>
    <w:p w14:paraId="6056417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3.3其他需说明的事项：</w:t>
      </w:r>
    </w:p>
    <w:p w14:paraId="4828A61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四、合同标的及服务范围、地点和时间</w:t>
      </w:r>
    </w:p>
    <w:p w14:paraId="3F8817B2">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4.1项目名称： _____________</w:t>
      </w:r>
    </w:p>
    <w:p w14:paraId="47D8237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4.2服务范围：_____________</w:t>
      </w:r>
    </w:p>
    <w:p w14:paraId="17E3912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4.3服务地点：_____________</w:t>
      </w:r>
    </w:p>
    <w:p w14:paraId="5676037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4.4服务完成时间：_____________</w:t>
      </w:r>
    </w:p>
    <w:p w14:paraId="7135C7F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五、服务内容、质量标准和要求</w:t>
      </w:r>
    </w:p>
    <w:p w14:paraId="2F30427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5.1服务工作量的计量方式：_____________</w:t>
      </w:r>
    </w:p>
    <w:p w14:paraId="4BE968F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5.2服务内容：_____________</w:t>
      </w:r>
    </w:p>
    <w:p w14:paraId="0A2C050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5.3技术保障、服务人员组成、所涉及的货物的质量标准：</w:t>
      </w:r>
    </w:p>
    <w:p w14:paraId="025B223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（1）服务技术保障：_____________</w:t>
      </w:r>
    </w:p>
    <w:p w14:paraId="278D819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（2）服务人员组成：_____________</w:t>
      </w:r>
    </w:p>
    <w:p w14:paraId="7803D77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（3）服务设备及物资投入及质量标准：_____________</w:t>
      </w:r>
    </w:p>
    <w:p w14:paraId="6986972A">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5.4服务质量标准及要求：</w:t>
      </w:r>
    </w:p>
    <w:p w14:paraId="40CCAB0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AD2743A">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9E3D866">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5.4.3其他要求：</w:t>
      </w:r>
    </w:p>
    <w:p w14:paraId="54AA0E0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六、服务履约验收或考核</w:t>
      </w:r>
    </w:p>
    <w:p w14:paraId="3675BFD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甲方按照采购文件、乙方的投标或响应文件和本协议约定的服务内容及质量要求按次组织对乙方所提供服务进行验收，或定期进行服务考核，并根据验收或考核结果支付服务费用。具体如下：</w:t>
      </w:r>
    </w:p>
    <w:p w14:paraId="0423FC8C">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七、甲方的权利与义务</w:t>
      </w:r>
    </w:p>
    <w:p w14:paraId="34156F3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7.1甲方委派___________为联系人，联系方式 ___________，负责与乙方联系。如甲方联系人发生变更，甲方应书面告知乙方。</w:t>
      </w:r>
    </w:p>
    <w:p w14:paraId="1218235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7.2甲方应为乙方开展服务工作提供必要的工作条件，以及对内对外沟通和配合协助。</w:t>
      </w:r>
    </w:p>
    <w:p w14:paraId="1C8422C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7.3甲方应于___________之前提供服务所需的全部资料，并对所提供材料真实性、完整性、合法性负责。</w:t>
      </w:r>
    </w:p>
    <w:p w14:paraId="76E6C8BA">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B574A6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7.5甲方应按本合同约定及时足额支付服务费用及相关费用。</w:t>
      </w:r>
    </w:p>
    <w:p w14:paraId="28BE8C9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7.6其他</w:t>
      </w:r>
    </w:p>
    <w:p w14:paraId="05D8311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八、乙方的权利与义务</w:t>
      </w:r>
    </w:p>
    <w:p w14:paraId="7DB0593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8.1乙方委派___________为联系人，联系方式 ___________，负责与甲方联系。如乙方联系人发生变更，乙方应书面告知甲方</w:t>
      </w:r>
    </w:p>
    <w:p w14:paraId="7287D71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8.2乙方应国家法律法规和{{乙方的权利与义务-响应要求-福建}}等要求开展{{乙方的权利与义务-开展服务-福建}}服务；</w:t>
      </w:r>
    </w:p>
    <w:p w14:paraId="1903043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8.3乙方及其所委派服务人员应按标准或协议约定方式出具服务成果，并对其真实性和合法性负法律责任；</w:t>
      </w:r>
    </w:p>
    <w:p w14:paraId="659EE47C">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8.4乙方对执行业务过程中知悉的国家秘密或甲方的商业秘密保密。除非国家法律法规及行业规范另有规定,或经甲方同意,乙方不得将其知悉的商业秘密和甲方提供的资料对外泄露。</w:t>
      </w:r>
    </w:p>
    <w:p w14:paraId="2A590DDC">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8.5乙方对服务业务应当单独建档，保存完整的工作记录，并对服务过程使用和暂存甲方的文件、材料和财物应当妥善保管。</w:t>
      </w:r>
    </w:p>
    <w:p w14:paraId="17F8F5B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8.6服务工作结束后,乙方将根据情况对甲方服务相关的管理制度及其他事项等提出改进意见。</w:t>
      </w:r>
    </w:p>
    <w:p w14:paraId="1A30031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8.7乙方完全遵守《中华人民共和国劳动合同法》有关规定和《中华人民共和国妇女权益保障法》中关于“劳动和社会保障权益”的有关要求。</w:t>
      </w:r>
    </w:p>
    <w:p w14:paraId="06662E7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8.8其他</w:t>
      </w:r>
    </w:p>
    <w:p w14:paraId="4F36FEEB">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九、资金支付方式、时间和条件</w:t>
      </w:r>
    </w:p>
    <w:p w14:paraId="707C1B40">
      <w:pPr>
        <w:tabs>
          <w:tab w:val="left" w:pos="0"/>
        </w:tabs>
        <w:spacing w:line="360" w:lineRule="auto"/>
        <w:ind w:firstLine="480" w:firstLineChars="200"/>
        <w:rPr>
          <w:rFonts w:hint="eastAsia" w:ascii="宋体" w:hAnsi="宋体" w:cs="宋体"/>
          <w:color w:val="auto"/>
          <w:sz w:val="24"/>
          <w:highlight w:val="none"/>
          <w:lang w:eastAsia="zh-CN" w:bidi="ar"/>
        </w:rPr>
      </w:pPr>
    </w:p>
    <w:p w14:paraId="4D723D0C">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十、履约保证金</w:t>
      </w:r>
    </w:p>
    <w:p w14:paraId="6E6A05C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□有，□无。具体如下：（按照采购文件规定填写）。</w:t>
      </w:r>
    </w:p>
    <w:p w14:paraId="3FD26F65">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10.1乙方向甲方缴纳人民币 / 元作为本合同的履约保证金。</w:t>
      </w:r>
    </w:p>
    <w:p w14:paraId="2A38F63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10.2履约保证金缴纳形式：支票/汇票/电汇/保函等非现金形式。</w:t>
      </w:r>
    </w:p>
    <w:p w14:paraId="6A133FA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10.3履约保证金合同履行完毕前有效，合同履行完毕后一次性结清退还。</w:t>
      </w:r>
    </w:p>
    <w:p w14:paraId="6BEFE99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十一、合同期限</w:t>
      </w:r>
    </w:p>
    <w:p w14:paraId="6C9953C1">
      <w:pPr>
        <w:tabs>
          <w:tab w:val="left" w:pos="0"/>
        </w:tabs>
        <w:spacing w:line="360" w:lineRule="auto"/>
        <w:ind w:firstLine="480" w:firstLineChars="200"/>
        <w:rPr>
          <w:rFonts w:hint="eastAsia" w:ascii="宋体" w:hAnsi="宋体" w:cs="宋体"/>
          <w:color w:val="auto"/>
          <w:sz w:val="24"/>
          <w:highlight w:val="none"/>
          <w:lang w:eastAsia="zh-CN" w:bidi="ar"/>
        </w:rPr>
      </w:pPr>
    </w:p>
    <w:p w14:paraId="609C1CAB">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十二、保密条款</w:t>
      </w:r>
    </w:p>
    <w:p w14:paraId="29BF5FD2">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12.1对于在采购和合同履行过程中所获悉的属于保密的内容，甲、乙双方均负有保密义务。</w:t>
      </w:r>
    </w:p>
    <w:p w14:paraId="211BE5C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12.2其他</w:t>
      </w:r>
    </w:p>
    <w:p w14:paraId="03BAE9C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十三、违约责任</w:t>
      </w:r>
    </w:p>
    <w:p w14:paraId="7C72024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13.1甲方违约责任</w:t>
      </w:r>
    </w:p>
    <w:p w14:paraId="59BDDC1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（1）甲方无正当理由拒绝乙方提供合格服务的，甲方应向乙方偿付所拒收合同总价________的违约金</w:t>
      </w:r>
    </w:p>
    <w:p w14:paraId="5B0D908B">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（2）甲方无故逾期验收和办理合同款项支付手续的,甲方应按逾期付款总额每日________向乙方支付违约金。</w:t>
      </w:r>
    </w:p>
    <w:p w14:paraId="091BBD8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（3）其他违约情形</w:t>
      </w:r>
    </w:p>
    <w:p w14:paraId="50824374">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13.2乙方违约责任</w:t>
      </w:r>
    </w:p>
    <w:p w14:paraId="7442B4F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（1）乙方逾期履行服务的，乙方应按逾期交付总额每日________向甲方支付违约金，由甲方从待付货款中扣除。乙方无正当理由逾期超过约定日期________仍不能交付的，视为“乙方不按合同约定履约”；</w:t>
      </w:r>
    </w:p>
    <w:p w14:paraId="07FCFAD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（2）乙方所履行的服务不符合合同规定及《采购文件》规定标准的，甲方有权拒绝，乙方愿意整改但逾期履行的，按乙方逾期履行处理。乙方拒绝整改的，视为“乙方不按合同约定履约”</w:t>
      </w:r>
    </w:p>
    <w:p w14:paraId="6B40CDBC">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（3）乙方不按合同约定履约的，甲方可以解除采购合同，并对乙方已缴纳的履约保证金作“不予退还”处理。同时，乙方须按以下约定向甲方支付违约金：</w:t>
      </w:r>
    </w:p>
    <w:p w14:paraId="7280AE32">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（4）其他违约情形</w:t>
      </w:r>
    </w:p>
    <w:p w14:paraId="4659C9BF">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十四、不可抗力事件处理</w:t>
      </w:r>
    </w:p>
    <w:p w14:paraId="3D12ACB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DB68C70">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十五、解决争议的方法</w:t>
      </w:r>
    </w:p>
    <w:p w14:paraId="6BFF56E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15.1甲、乙双方协商解决。</w:t>
      </w:r>
    </w:p>
    <w:p w14:paraId="20ED0810">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15.2若协商解决不成，双方明确按以下第_种方式解决：</w:t>
      </w:r>
    </w:p>
    <w:p w14:paraId="693D0BF8">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1、提交仲裁委员会仲裁，具体如下：</w:t>
      </w:r>
    </w:p>
    <w:p w14:paraId="153CC6C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2、向人民法院提起诉讼。</w:t>
      </w:r>
    </w:p>
    <w:p w14:paraId="2304DEDB">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十六、合同其他条款</w:t>
      </w:r>
    </w:p>
    <w:p w14:paraId="0663813D">
      <w:pPr>
        <w:tabs>
          <w:tab w:val="left" w:pos="0"/>
        </w:tabs>
        <w:spacing w:line="360" w:lineRule="auto"/>
        <w:ind w:firstLine="480" w:firstLineChars="200"/>
        <w:rPr>
          <w:rFonts w:hint="eastAsia" w:ascii="宋体" w:hAnsi="宋体" w:cs="宋体"/>
          <w:color w:val="auto"/>
          <w:sz w:val="24"/>
          <w:highlight w:val="none"/>
          <w:lang w:eastAsia="zh-CN" w:bidi="ar"/>
        </w:rPr>
      </w:pPr>
    </w:p>
    <w:p w14:paraId="3183BAD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十七、其他约定</w:t>
      </w:r>
    </w:p>
    <w:p w14:paraId="06359063">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17.1合同文件与本合同具有同等法律效力。</w:t>
      </w:r>
    </w:p>
    <w:p w14:paraId="309FC7C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97A8EE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17.3本合同未尽事宜，遵照《中华人民共和国民法典》有关条文执行。</w:t>
      </w:r>
    </w:p>
    <w:p w14:paraId="11E76B21">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17.4本合同正本一式_______份，具有同等法律效力，甲方、乙方各执_______份；副本_______份，_______</w:t>
      </w:r>
    </w:p>
    <w:p w14:paraId="2ADB0F49">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17.5其他</w:t>
      </w:r>
    </w:p>
    <w:p w14:paraId="1FD93906">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十八、合同附件</w:t>
      </w:r>
    </w:p>
    <w:p w14:paraId="7F20EDCE">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十九、合同融资支付约定</w:t>
      </w:r>
    </w:p>
    <w:p w14:paraId="0571FC0D">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19.1本合同已用于政府采购合同融资，为本项目提供合同融资的金融机构为：_______，本合同项下所有款项，甲方须支付至本合同约定的乙方账号，未经_______书面同意，不得变更账号。</w:t>
      </w:r>
    </w:p>
    <w:p w14:paraId="06571F47">
      <w:pPr>
        <w:tabs>
          <w:tab w:val="left" w:pos="0"/>
        </w:tabs>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eastAsia="zh-CN" w:bidi="ar"/>
        </w:rPr>
        <w:t>中标（成交）供应商应于采购合同签订之日起_______内，向发放政采贷的金融机构提交政府采购中标（成交）通知书和政府采购合同，贷款金额以政府采购合同金额为限。</w:t>
      </w:r>
    </w:p>
    <w:p w14:paraId="57C2C24E">
      <w:pPr>
        <w:tabs>
          <w:tab w:val="left" w:pos="0"/>
        </w:tabs>
        <w:spacing w:line="360" w:lineRule="auto"/>
        <w:ind w:firstLine="480" w:firstLineChars="200"/>
        <w:rPr>
          <w:rFonts w:hint="eastAsia" w:ascii="宋体" w:hAnsi="宋体" w:cs="宋体"/>
          <w:color w:val="auto"/>
          <w:sz w:val="24"/>
          <w:highlight w:val="none"/>
          <w:lang w:eastAsia="zh-CN" w:bidi="ar"/>
        </w:rPr>
      </w:pPr>
    </w:p>
    <w:p w14:paraId="5158F9D7">
      <w:pPr>
        <w:widowControl/>
        <w:tabs>
          <w:tab w:val="left" w:pos="0"/>
        </w:tabs>
        <w:spacing w:line="360" w:lineRule="auto"/>
        <w:ind w:firstLine="480" w:firstLineChars="200"/>
        <w:jc w:val="left"/>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十六、合同附件</w:t>
      </w:r>
      <w:bookmarkEnd w:id="41"/>
      <w:r>
        <w:rPr>
          <w:rFonts w:hint="eastAsia" w:ascii="宋体" w:hAnsi="宋体" w:cs="宋体"/>
          <w:color w:val="auto"/>
          <w:sz w:val="24"/>
          <w:highlight w:val="none"/>
          <w:lang w:bidi="ar"/>
        </w:rPr>
        <w:t xml:space="preserve"> </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14:paraId="203D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2FAD1C12">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甲方（采购人）：</w:t>
            </w:r>
          </w:p>
        </w:tc>
        <w:tc>
          <w:tcPr>
            <w:tcW w:w="4927" w:type="dxa"/>
          </w:tcPr>
          <w:p w14:paraId="6C966704">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乙方（中标或成交人）：</w:t>
            </w:r>
          </w:p>
        </w:tc>
      </w:tr>
      <w:tr w14:paraId="480D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55A749A8">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法定（授权）代表人：</w:t>
            </w:r>
          </w:p>
        </w:tc>
        <w:tc>
          <w:tcPr>
            <w:tcW w:w="4927" w:type="dxa"/>
          </w:tcPr>
          <w:p w14:paraId="6DD27A1C">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法定（授权）代表人：</w:t>
            </w:r>
          </w:p>
        </w:tc>
      </w:tr>
      <w:tr w14:paraId="123A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5BC9E330">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纳税人识别号：</w:t>
            </w:r>
          </w:p>
        </w:tc>
        <w:tc>
          <w:tcPr>
            <w:tcW w:w="4927" w:type="dxa"/>
          </w:tcPr>
          <w:p w14:paraId="603682C3">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纳税人识别号：</w:t>
            </w:r>
          </w:p>
        </w:tc>
      </w:tr>
      <w:tr w14:paraId="1B8D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09D43AFE">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开户银行：</w:t>
            </w:r>
          </w:p>
        </w:tc>
        <w:tc>
          <w:tcPr>
            <w:tcW w:w="4927" w:type="dxa"/>
          </w:tcPr>
          <w:p w14:paraId="5383DEC5">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开户银行：</w:t>
            </w:r>
          </w:p>
        </w:tc>
      </w:tr>
      <w:tr w14:paraId="3E1A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25E3E1FA">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账号：</w:t>
            </w:r>
          </w:p>
        </w:tc>
        <w:tc>
          <w:tcPr>
            <w:tcW w:w="4927" w:type="dxa"/>
          </w:tcPr>
          <w:p w14:paraId="5F0B5721">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账号：</w:t>
            </w:r>
          </w:p>
        </w:tc>
      </w:tr>
      <w:tr w14:paraId="1017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4EAE7237">
            <w:pPr>
              <w:tabs>
                <w:tab w:val="left" w:pos="0"/>
              </w:tabs>
              <w:spacing w:line="360" w:lineRule="auto"/>
              <w:rPr>
                <w:rFonts w:hint="eastAsia" w:ascii="宋体" w:hAnsi="宋体" w:cs="宋体"/>
                <w:color w:val="auto"/>
                <w:sz w:val="24"/>
                <w:highlight w:val="none"/>
                <w:vertAlign w:val="baseline"/>
                <w:lang w:bidi="ar"/>
              </w:rPr>
            </w:pPr>
            <w:r>
              <w:rPr>
                <w:rFonts w:hint="eastAsia" w:ascii="宋体" w:hAnsi="宋体" w:cs="宋体"/>
                <w:color w:val="auto"/>
                <w:sz w:val="24"/>
                <w:highlight w:val="none"/>
                <w:lang w:bidi="ar"/>
              </w:rPr>
              <w:t>签订地点：__________</w:t>
            </w:r>
          </w:p>
        </w:tc>
        <w:tc>
          <w:tcPr>
            <w:tcW w:w="4927" w:type="dxa"/>
          </w:tcPr>
          <w:p w14:paraId="26FCE2DF">
            <w:pPr>
              <w:tabs>
                <w:tab w:val="left" w:pos="0"/>
              </w:tabs>
              <w:spacing w:line="360" w:lineRule="auto"/>
              <w:rPr>
                <w:rFonts w:hint="eastAsia" w:ascii="宋体" w:hAnsi="宋体" w:cs="宋体"/>
                <w:color w:val="auto"/>
                <w:sz w:val="24"/>
                <w:highlight w:val="none"/>
                <w:vertAlign w:val="baseline"/>
                <w:lang w:bidi="ar"/>
              </w:rPr>
            </w:pPr>
          </w:p>
        </w:tc>
      </w:tr>
      <w:tr w14:paraId="6FEF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14:paraId="3E876D64">
            <w:pPr>
              <w:tabs>
                <w:tab w:val="left" w:pos="0"/>
              </w:tabs>
              <w:spacing w:line="360" w:lineRule="auto"/>
              <w:rPr>
                <w:rFonts w:hint="eastAsia" w:ascii="宋体" w:hAnsi="宋体" w:cs="宋体"/>
                <w:color w:val="auto"/>
                <w:sz w:val="24"/>
                <w:highlight w:val="none"/>
                <w:lang w:bidi="ar"/>
              </w:rPr>
            </w:pPr>
            <w:r>
              <w:rPr>
                <w:rFonts w:hint="eastAsia" w:ascii="宋体" w:hAnsi="宋体" w:cs="宋体"/>
                <w:color w:val="auto"/>
                <w:sz w:val="24"/>
                <w:highlight w:val="none"/>
                <w:lang w:bidi="ar"/>
              </w:rPr>
              <w:t>签订日期：___年___月___日</w:t>
            </w:r>
          </w:p>
        </w:tc>
        <w:tc>
          <w:tcPr>
            <w:tcW w:w="4927" w:type="dxa"/>
          </w:tcPr>
          <w:p w14:paraId="3B252106">
            <w:pPr>
              <w:tabs>
                <w:tab w:val="left" w:pos="0"/>
              </w:tabs>
              <w:spacing w:line="360" w:lineRule="auto"/>
              <w:rPr>
                <w:rFonts w:hint="eastAsia" w:ascii="宋体" w:hAnsi="宋体" w:cs="宋体"/>
                <w:color w:val="auto"/>
                <w:sz w:val="24"/>
                <w:highlight w:val="none"/>
                <w:vertAlign w:val="baseline"/>
                <w:lang w:bidi="ar"/>
              </w:rPr>
            </w:pPr>
          </w:p>
        </w:tc>
      </w:tr>
    </w:tbl>
    <w:p w14:paraId="1E6BFEF3">
      <w:pPr>
        <w:widowControl/>
        <w:tabs>
          <w:tab w:val="left" w:pos="0"/>
        </w:tabs>
        <w:spacing w:after="375" w:afterAutospacing="0" w:line="360" w:lineRule="auto"/>
        <w:ind w:firstLine="480" w:firstLineChars="200"/>
        <w:rPr>
          <w:rFonts w:hint="eastAsia" w:ascii="宋体" w:hAnsi="宋体" w:cs="宋体"/>
          <w:color w:val="auto"/>
          <w:sz w:val="24"/>
          <w:highlight w:val="none"/>
          <w:lang w:bidi="ar"/>
        </w:rPr>
      </w:pPr>
    </w:p>
    <w:p w14:paraId="247C322F">
      <w:pPr>
        <w:widowControl/>
        <w:tabs>
          <w:tab w:val="left" w:pos="0"/>
        </w:tabs>
        <w:spacing w:after="375" w:afterAutospacing="0"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 </w:t>
      </w:r>
    </w:p>
    <w:p w14:paraId="68E87E09">
      <w:pPr>
        <w:tabs>
          <w:tab w:val="left" w:pos="0"/>
        </w:tabs>
        <w:spacing w:line="360" w:lineRule="auto"/>
        <w:ind w:firstLine="480" w:firstLineChars="200"/>
        <w:rPr>
          <w:rStyle w:val="25"/>
          <w:rFonts w:hint="default" w:ascii="宋体" w:hAnsi="宋体" w:cs="宋体" w:eastAsiaTheme="minorEastAsia"/>
          <w:bCs w:val="0"/>
          <w:color w:val="auto"/>
          <w:kern w:val="2"/>
          <w:sz w:val="24"/>
          <w:szCs w:val="24"/>
          <w:highlight w:val="none"/>
          <w:lang w:bidi="ar"/>
        </w:rPr>
      </w:pPr>
      <w:r>
        <w:rPr>
          <w:rFonts w:hint="eastAsia" w:ascii="宋体" w:hAnsi="宋体" w:cs="宋体"/>
          <w:color w:val="auto"/>
          <w:sz w:val="24"/>
          <w:highlight w:val="none"/>
          <w:lang w:bidi="ar"/>
        </w:rPr>
        <w:t xml:space="preserve"> </w:t>
      </w:r>
    </w:p>
    <w:p w14:paraId="54B028F8">
      <w:pPr>
        <w:rPr>
          <w:rStyle w:val="26"/>
          <w:rFonts w:hint="eastAsia" w:ascii="宋体" w:hAnsi="宋体" w:eastAsia="宋体" w:cs="宋体"/>
          <w:bCs/>
          <w:color w:val="000000"/>
          <w:kern w:val="0"/>
          <w:sz w:val="32"/>
          <w:szCs w:val="32"/>
          <w:lang w:bidi="ar"/>
        </w:rPr>
      </w:pPr>
      <w:bookmarkStart w:id="42" w:name="_Toc16846"/>
      <w:r>
        <w:rPr>
          <w:rStyle w:val="26"/>
          <w:rFonts w:hint="eastAsia" w:ascii="宋体" w:hAnsi="宋体" w:eastAsia="宋体" w:cs="宋体"/>
          <w:bCs/>
          <w:color w:val="000000"/>
          <w:kern w:val="0"/>
          <w:sz w:val="32"/>
          <w:szCs w:val="32"/>
          <w:lang w:bidi="ar"/>
        </w:rPr>
        <w:br w:type="page"/>
      </w:r>
    </w:p>
    <w:p w14:paraId="61464933">
      <w:pPr>
        <w:widowControl/>
        <w:shd w:val="clear" w:color="auto" w:fill="FFFFFF"/>
        <w:jc w:val="center"/>
        <w:outlineLvl w:val="0"/>
        <w:rPr>
          <w:rFonts w:hint="eastAsia" w:ascii="宋体" w:hAnsi="宋体" w:eastAsia="宋体" w:cs="宋体"/>
          <w:b/>
          <w:bCs/>
          <w:color w:val="333333"/>
          <w:sz w:val="39"/>
          <w:szCs w:val="39"/>
        </w:rPr>
      </w:pPr>
      <w:r>
        <w:rPr>
          <w:rStyle w:val="26"/>
          <w:rFonts w:hint="eastAsia" w:ascii="宋体" w:hAnsi="宋体" w:eastAsia="宋体" w:cs="宋体"/>
          <w:bCs/>
          <w:color w:val="000000"/>
          <w:kern w:val="0"/>
          <w:sz w:val="32"/>
          <w:szCs w:val="32"/>
          <w:lang w:bidi="ar"/>
        </w:rPr>
        <w:t>第七章 投标文件格式</w:t>
      </w:r>
      <w:bookmarkEnd w:id="42"/>
    </w:p>
    <w:p w14:paraId="4A02AADF">
      <w:pPr>
        <w:widowControl/>
        <w:shd w:val="clear" w:color="auto" w:fill="FFFFFF"/>
        <w:jc w:val="center"/>
        <w:rPr>
          <w:rFonts w:hint="eastAsia" w:ascii="宋体" w:hAnsi="宋体" w:eastAsia="宋体" w:cs="宋体"/>
          <w:b/>
          <w:bCs/>
          <w:color w:val="333333"/>
          <w:sz w:val="27"/>
          <w:szCs w:val="27"/>
        </w:rPr>
      </w:pPr>
      <w:r>
        <w:rPr>
          <w:rFonts w:hint="eastAsia" w:ascii="宋体" w:hAnsi="宋体" w:eastAsia="宋体" w:cs="宋体"/>
          <w:b/>
          <w:bCs/>
          <w:color w:val="333333"/>
          <w:sz w:val="27"/>
          <w:szCs w:val="27"/>
          <w:shd w:val="clear" w:color="auto" w:fill="FFFFFF"/>
        </w:rPr>
        <w:t>编制说明</w:t>
      </w:r>
    </w:p>
    <w:p w14:paraId="533F83C8">
      <w:pPr>
        <w:pStyle w:val="18"/>
        <w:widowControl/>
        <w:spacing w:beforeAutospacing="0" w:afterAutospacing="0" w:line="480" w:lineRule="atLeast"/>
        <w:ind w:firstLine="420"/>
        <w:rPr>
          <w:rFonts w:hint="eastAsia" w:ascii="宋体" w:hAnsi="宋体" w:eastAsia="宋体" w:cs="宋体"/>
        </w:rPr>
      </w:pPr>
      <w:bookmarkStart w:id="43" w:name="_Toc14336"/>
      <w:r>
        <w:rPr>
          <w:rFonts w:hint="eastAsia" w:ascii="宋体" w:hAnsi="宋体" w:eastAsia="宋体" w:cs="宋体"/>
        </w:rPr>
        <w:t>1、除招标文件另有规定外，本章中：</w:t>
      </w:r>
    </w:p>
    <w:p w14:paraId="3BDFBE30">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1.1涉及投标人的“全称”：</w:t>
      </w:r>
    </w:p>
    <w:p w14:paraId="68AF77F4">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（1）不接受联合体投标的，指投标人的全称。</w:t>
      </w:r>
    </w:p>
    <w:p w14:paraId="27A0E092">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5702C5B4">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1.2涉及投标人“加盖单位公章”：</w:t>
      </w:r>
    </w:p>
    <w:p w14:paraId="0D55C62C">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（1）不接受联合体投标的，指加盖投标人的单位公章。</w:t>
      </w:r>
    </w:p>
    <w:p w14:paraId="55DCD2DF">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14:paraId="44934183">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1.3涉及“投标人代表签字”：</w:t>
      </w:r>
    </w:p>
    <w:p w14:paraId="75CFD1A2">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14:paraId="1DE7F987">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14:paraId="31927453">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14:paraId="2ACAB658">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14:paraId="47B5453C">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2、除招标文件另有规定外，本章中“投标人的资格及资信证明文件”：</w:t>
      </w:r>
    </w:p>
    <w:p w14:paraId="467DE9C6">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0A36866E">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57F1E334">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3、投标人对电子投标文件的索引应编制页码。</w:t>
      </w:r>
    </w:p>
    <w:p w14:paraId="3F4F35D3">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rPr>
        <w:t>4、本章提供格式仅供参考，投标人应根据自身实际情况制作电子投标文件。</w:t>
      </w:r>
      <w:bookmarkEnd w:id="43"/>
    </w:p>
    <w:p w14:paraId="59BCF033">
      <w:pPr>
        <w:pStyle w:val="18"/>
        <w:widowControl/>
        <w:spacing w:beforeAutospacing="0" w:afterAutospacing="0" w:line="480" w:lineRule="atLeast"/>
        <w:ind w:firstLine="420"/>
        <w:rPr>
          <w:rFonts w:hint="eastAsia" w:ascii="宋体" w:hAnsi="宋体" w:eastAsia="宋体" w:cs="宋体"/>
        </w:rPr>
      </w:pPr>
      <w:r>
        <w:rPr>
          <w:rFonts w:hint="eastAsia" w:ascii="宋体" w:hAnsi="宋体" w:eastAsia="宋体" w:cs="宋体"/>
          <w:color w:val="333333"/>
          <w:sz w:val="21"/>
          <w:szCs w:val="21"/>
          <w:shd w:val="clear" w:color="auto" w:fill="FFFFFF"/>
        </w:rPr>
        <w:t> </w:t>
      </w:r>
    </w:p>
    <w:p w14:paraId="3B1854E9">
      <w:pPr>
        <w:rPr>
          <w:rFonts w:hint="eastAsia"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18C59F21">
      <w:pPr>
        <w:pStyle w:val="33"/>
        <w:jc w:val="center"/>
        <w:outlineLvl w:val="1"/>
        <w:rPr>
          <w:rFonts w:hint="eastAsia" w:ascii="宋体" w:hAnsi="宋体" w:eastAsia="宋体" w:cs="宋体"/>
        </w:rPr>
      </w:pPr>
      <w:bookmarkStart w:id="44" w:name="_Toc31667"/>
      <w:r>
        <w:rPr>
          <w:rFonts w:hint="eastAsia" w:ascii="宋体" w:hAnsi="宋体" w:eastAsia="宋体" w:cs="宋体"/>
          <w:b/>
          <w:sz w:val="28"/>
        </w:rPr>
        <w:t>封面格式(资格及资信证明部分)</w:t>
      </w:r>
      <w:bookmarkEnd w:id="44"/>
    </w:p>
    <w:p w14:paraId="0C266144">
      <w:pPr>
        <w:pStyle w:val="33"/>
        <w:jc w:val="center"/>
        <w:outlineLvl w:val="9"/>
        <w:rPr>
          <w:rFonts w:hint="eastAsia" w:ascii="宋体" w:hAnsi="宋体" w:eastAsia="宋体" w:cs="宋体"/>
        </w:rPr>
      </w:pPr>
      <w:r>
        <w:rPr>
          <w:rFonts w:hint="eastAsia" w:ascii="宋体" w:hAnsi="宋体" w:eastAsia="宋体" w:cs="宋体"/>
          <w:b/>
          <w:bCs/>
          <w:sz w:val="52"/>
          <w:szCs w:val="52"/>
          <w:lang w:eastAsia="zh-CN"/>
        </w:rPr>
        <w:t>福建省厦门监狱投标文件</w:t>
      </w:r>
    </w:p>
    <w:p w14:paraId="28105F09">
      <w:pPr>
        <w:pStyle w:val="33"/>
        <w:jc w:val="center"/>
        <w:outlineLvl w:val="9"/>
        <w:rPr>
          <w:rFonts w:hint="eastAsia" w:ascii="宋体" w:hAnsi="宋体" w:eastAsia="宋体" w:cs="宋体"/>
        </w:rPr>
      </w:pPr>
      <w:r>
        <w:rPr>
          <w:rFonts w:hint="eastAsia" w:ascii="宋体" w:hAnsi="宋体" w:eastAsia="宋体" w:cs="宋体"/>
          <w:b/>
          <w:sz w:val="48"/>
        </w:rPr>
        <w:t>（资格及资信证明部分）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CFB4E95">
      <w:pPr>
        <w:pStyle w:val="33"/>
        <w:jc w:val="center"/>
        <w:outlineLvl w:val="9"/>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1B8F22A2">
      <w:pPr>
        <w:pStyle w:val="33"/>
        <w:jc w:val="center"/>
        <w:outlineLvl w:val="9"/>
        <w:rPr>
          <w:rFonts w:hint="eastAsia" w:ascii="宋体" w:hAnsi="宋体" w:eastAsia="宋体" w:cs="宋体"/>
        </w:rPr>
      </w:pPr>
      <w:r>
        <w:rPr>
          <w:rFonts w:hint="eastAsia" w:ascii="宋体" w:hAnsi="宋体" w:eastAsia="宋体" w:cs="宋体"/>
          <w:b/>
          <w:sz w:val="28"/>
        </w:rPr>
        <w:t>（项目名称：（由投标人填写）</w:t>
      </w:r>
    </w:p>
    <w:p w14:paraId="0FB8E2A2">
      <w:pPr>
        <w:pStyle w:val="33"/>
        <w:jc w:val="center"/>
        <w:outlineLvl w:val="9"/>
        <w:rPr>
          <w:rFonts w:hint="eastAsia" w:ascii="宋体" w:hAnsi="宋体" w:eastAsia="宋体" w:cs="宋体"/>
        </w:rPr>
      </w:pPr>
      <w:r>
        <w:rPr>
          <w:rFonts w:hint="eastAsia" w:ascii="宋体" w:hAnsi="宋体" w:eastAsia="宋体" w:cs="宋体"/>
          <w:b/>
          <w:sz w:val="28"/>
        </w:rPr>
        <w:t>（备案编号：（由投标人填写）</w:t>
      </w:r>
    </w:p>
    <w:p w14:paraId="1D90AA20">
      <w:pPr>
        <w:pStyle w:val="33"/>
        <w:jc w:val="center"/>
        <w:outlineLvl w:val="9"/>
        <w:rPr>
          <w:rFonts w:hint="eastAsia" w:ascii="宋体" w:hAnsi="宋体" w:eastAsia="宋体" w:cs="宋体"/>
        </w:rPr>
      </w:pPr>
      <w:r>
        <w:rPr>
          <w:rFonts w:hint="eastAsia" w:ascii="宋体" w:hAnsi="宋体" w:eastAsia="宋体" w:cs="宋体"/>
          <w:b/>
          <w:sz w:val="28"/>
        </w:rPr>
        <w:t>（项目编号：（由投标人填写）</w:t>
      </w:r>
    </w:p>
    <w:p w14:paraId="26DAC205">
      <w:pPr>
        <w:pStyle w:val="33"/>
        <w:jc w:val="center"/>
        <w:outlineLvl w:val="9"/>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6BD8A244">
      <w:pPr>
        <w:pStyle w:val="33"/>
        <w:jc w:val="center"/>
        <w:outlineLvl w:val="9"/>
        <w:rPr>
          <w:rFonts w:hint="eastAsia" w:ascii="宋体" w:hAnsi="宋体" w:eastAsia="宋体" w:cs="宋体"/>
        </w:rPr>
      </w:pPr>
      <w:r>
        <w:rPr>
          <w:rFonts w:hint="eastAsia" w:ascii="宋体" w:hAnsi="宋体" w:eastAsia="宋体" w:cs="宋体"/>
          <w:b/>
          <w:sz w:val="28"/>
        </w:rPr>
        <w:t>投标人：（填写“全称”）</w:t>
      </w:r>
    </w:p>
    <w:p w14:paraId="7996704E">
      <w:pPr>
        <w:pStyle w:val="33"/>
        <w:jc w:val="center"/>
        <w:outlineLvl w:val="9"/>
        <w:rPr>
          <w:rFonts w:hint="eastAsia" w:ascii="宋体" w:hAnsi="宋体" w:eastAsia="宋体" w:cs="宋体"/>
        </w:rPr>
      </w:pPr>
      <w:r>
        <w:rPr>
          <w:rFonts w:hint="eastAsia" w:ascii="宋体" w:hAnsi="宋体" w:eastAsia="宋体" w:cs="宋体"/>
          <w:b/>
          <w:sz w:val="28"/>
        </w:rPr>
        <w:t>（由投标人填写）年（由投标人填写）月</w:t>
      </w:r>
    </w:p>
    <w:p w14:paraId="7EF5B8E4">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6FEAA91">
      <w:pPr>
        <w:pStyle w:val="33"/>
        <w:jc w:val="center"/>
        <w:outlineLvl w:val="9"/>
      </w:pPr>
      <w:r>
        <w:rPr>
          <w:rFonts w:ascii="仿宋_GB2312" w:hAnsi="仿宋_GB2312" w:eastAsia="仿宋_GB2312" w:cs="仿宋_GB2312"/>
          <w:b/>
          <w:sz w:val="28"/>
        </w:rPr>
        <w:t>索引</w:t>
      </w:r>
    </w:p>
    <w:p w14:paraId="035AE50D">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一、投标函</w:t>
      </w:r>
    </w:p>
    <w:p w14:paraId="04DF802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14:paraId="6741C0F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三、投标保证金</w:t>
      </w:r>
    </w:p>
    <w:p w14:paraId="1DD1B45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F0B32FF">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1225B4D3">
      <w:pPr>
        <w:pStyle w:val="33"/>
        <w:keepNext w:val="0"/>
        <w:keepLines w:val="0"/>
        <w:pageBreakBefore w:val="0"/>
        <w:widowControl/>
        <w:kinsoku/>
        <w:wordWrap/>
        <w:overflowPunct/>
        <w:topLinePunct w:val="0"/>
        <w:autoSpaceDE/>
        <w:autoSpaceDN/>
        <w:bidi w:val="0"/>
        <w:adjustRightInd/>
        <w:snapToGrid/>
        <w:spacing w:line="480" w:lineRule="exact"/>
        <w:textAlignment w:val="auto"/>
      </w:pPr>
      <w:r>
        <w:rPr>
          <w:rFonts w:hint="eastAsia" w:ascii="宋体" w:hAnsi="宋体" w:eastAsia="宋体" w:cs="宋体"/>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E5BF0D">
      <w:pPr>
        <w:pStyle w:val="33"/>
        <w:jc w:val="center"/>
        <w:outlineLvl w:val="9"/>
        <w:rPr>
          <w:rFonts w:hint="eastAsia" w:ascii="宋体" w:hAnsi="宋体" w:eastAsia="宋体" w:cs="宋体"/>
        </w:rPr>
      </w:pPr>
      <w:r>
        <w:rPr>
          <w:rFonts w:hint="eastAsia" w:ascii="宋体" w:hAnsi="宋体" w:eastAsia="宋体" w:cs="宋体"/>
          <w:b/>
          <w:sz w:val="32"/>
          <w:szCs w:val="32"/>
        </w:rPr>
        <w:t>一、投标函</w:t>
      </w:r>
    </w:p>
    <w:p w14:paraId="63078C2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97433B0">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兹收到贵单位关于</w:t>
      </w:r>
      <w:r>
        <w:rPr>
          <w:rFonts w:hint="eastAsia" w:ascii="宋体" w:hAnsi="宋体" w:eastAsia="宋体" w:cs="宋体"/>
          <w:sz w:val="24"/>
          <w:szCs w:val="24"/>
          <w:u w:val="single"/>
        </w:rPr>
        <w:t xml:space="preserve">（填写“项目名称”） </w:t>
      </w:r>
      <w:r>
        <w:rPr>
          <w:rFonts w:hint="eastAsia" w:ascii="宋体" w:hAnsi="宋体" w:eastAsia="宋体" w:cs="宋体"/>
          <w:sz w:val="24"/>
          <w:szCs w:val="24"/>
        </w:rPr>
        <w:t>项目</w:t>
      </w:r>
      <w:r>
        <w:rPr>
          <w:rFonts w:hint="eastAsia" w:ascii="宋体" w:hAnsi="宋体" w:eastAsia="宋体" w:cs="宋体"/>
          <w:sz w:val="24"/>
          <w:szCs w:val="24"/>
          <w:u w:val="single"/>
        </w:rPr>
        <w:t xml:space="preserve">（项目编号：　　　　　） </w:t>
      </w:r>
      <w:r>
        <w:rPr>
          <w:rFonts w:hint="eastAsia" w:ascii="宋体" w:hAnsi="宋体" w:eastAsia="宋体" w:cs="宋体"/>
          <w:sz w:val="24"/>
          <w:szCs w:val="24"/>
        </w:rPr>
        <w:t>的投标邀请，本投标人代表</w:t>
      </w:r>
      <w:r>
        <w:rPr>
          <w:rFonts w:hint="eastAsia" w:ascii="宋体" w:hAnsi="宋体" w:eastAsia="宋体" w:cs="宋体"/>
          <w:sz w:val="24"/>
          <w:szCs w:val="24"/>
          <w:u w:val="single"/>
        </w:rPr>
        <w:t xml:space="preserve">（填写“全名”） </w:t>
      </w:r>
      <w:r>
        <w:rPr>
          <w:rFonts w:hint="eastAsia" w:ascii="宋体" w:hAnsi="宋体" w:eastAsia="宋体" w:cs="宋体"/>
          <w:sz w:val="24"/>
          <w:szCs w:val="24"/>
        </w:rPr>
        <w:t>已获得我方正式授权并代表投标人（填写“全称”）参加投标，并提交电子投标文件。我方提交的全部电子投标文件由下述部分组成：</w:t>
      </w:r>
    </w:p>
    <w:p w14:paraId="2387C7C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14:paraId="654084D8">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①投标函</w:t>
      </w:r>
    </w:p>
    <w:p w14:paraId="0B325C1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14:paraId="32674D8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14:paraId="4A9DC8D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（2）报价部分</w:t>
      </w:r>
    </w:p>
    <w:p w14:paraId="7F7DE4E7">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①开标（报价）一览表</w:t>
      </w:r>
    </w:p>
    <w:p w14:paraId="79D1F3B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②投标（响应）报价明细表</w:t>
      </w:r>
    </w:p>
    <w:p w14:paraId="7B3CCD9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③退回保证金说明函</w:t>
      </w:r>
    </w:p>
    <w:p w14:paraId="648E004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14:paraId="464A870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14:paraId="36CFADA4">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14:paraId="2295697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14:paraId="44A945B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14:paraId="1D6228A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14:paraId="1443435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1、确认：</w:t>
      </w:r>
    </w:p>
    <w:p w14:paraId="4B1880FE">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1.1所投采购包的投标报价详见“开标（报价）一览表”及“投标（响应）报价明细表”。</w:t>
      </w:r>
    </w:p>
    <w:p w14:paraId="3C5C26D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387B9E2B">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2、承诺及声明：</w:t>
      </w:r>
    </w:p>
    <w:p w14:paraId="15950FC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14:paraId="16D07B07">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2931AD5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14:paraId="32E5756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14:paraId="7B9F11B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14:paraId="28E9D2A0">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14:paraId="3C2ABABA">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4A8B5BE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2.8我方承诺遵守《中华人民共和国劳动合同法》有关规定和《中华人民共和国妇女权益保障法 》中关于“劳动和社会保障权益”的有关要求。</w:t>
      </w:r>
    </w:p>
    <w:p w14:paraId="7F934BE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6F93949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2.10除招标文件另有规定外，对于贵单位按照下述联络方式发出的任何信息或通知，均视为我方已收悉前述信息或通知的全部内容：</w:t>
      </w:r>
    </w:p>
    <w:p w14:paraId="052DA855">
      <w:pPr>
        <w:pStyle w:val="18"/>
        <w:widowControl/>
        <w:spacing w:beforeAutospacing="0" w:afterAutospacing="0" w:line="480" w:lineRule="atLeast"/>
        <w:ind w:firstLine="420"/>
        <w:rPr>
          <w:rFonts w:hint="eastAsia" w:ascii="宋体" w:hAnsi="宋体" w:eastAsia="宋体" w:cs="宋体"/>
          <w:sz w:val="24"/>
          <w:szCs w:val="24"/>
        </w:rPr>
      </w:pPr>
      <w:r>
        <w:rPr>
          <w:rFonts w:hint="eastAsia" w:ascii="宋体" w:hAnsi="宋体" w:eastAsia="宋体" w:cs="宋体"/>
          <w:lang w:val="en-US" w:eastAsia="zh-CN"/>
        </w:rPr>
        <w:t>2.11</w:t>
      </w:r>
      <w:r>
        <w:rPr>
          <w:rFonts w:hint="eastAsia" w:ascii="宋体" w:hAnsi="宋体" w:eastAsia="宋体" w:cs="宋体"/>
          <w:color w:val="FF0000"/>
          <w:sz w:val="24"/>
          <w:lang w:val="en-US" w:eastAsia="zh-CN"/>
        </w:rPr>
        <w:t>我公司</w:t>
      </w:r>
      <w:r>
        <w:rPr>
          <w:rFonts w:hint="default" w:ascii="宋体" w:hAnsi="宋体" w:eastAsia="宋体" w:cs="宋体"/>
          <w:color w:val="FF0000"/>
          <w:sz w:val="24"/>
        </w:rPr>
        <w:t>没有被列入福建省监狱管理局不良行为记录名单</w:t>
      </w:r>
      <w:r>
        <w:rPr>
          <w:rFonts w:hint="eastAsia" w:ascii="宋体" w:hAnsi="宋体" w:eastAsia="宋体" w:cs="宋体"/>
          <w:color w:val="FF0000"/>
          <w:sz w:val="24"/>
          <w:lang w:eastAsia="zh-CN"/>
        </w:rPr>
        <w:t>。</w:t>
      </w:r>
    </w:p>
    <w:p w14:paraId="055875A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通信地址：</w:t>
      </w:r>
    </w:p>
    <w:p w14:paraId="6803417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邮编：</w:t>
      </w:r>
    </w:p>
    <w:p w14:paraId="00D7A6C4">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14:paraId="5669CFA8">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14:paraId="2DDB36A6">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29F705BA">
      <w:pPr>
        <w:pStyle w:val="33"/>
        <w:keepNext w:val="0"/>
        <w:keepLines w:val="0"/>
        <w:pageBreakBefore w:val="0"/>
        <w:widowControl/>
        <w:kinsoku/>
        <w:wordWrap/>
        <w:overflowPunct/>
        <w:topLinePunct w:val="0"/>
        <w:autoSpaceDE/>
        <w:autoSpaceDN/>
        <w:bidi w:val="0"/>
        <w:adjustRightInd/>
        <w:snapToGrid/>
        <w:spacing w:line="480" w:lineRule="exact"/>
        <w:textAlignment w:val="auto"/>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ascii="仿宋_GB2312" w:hAnsi="仿宋_GB2312" w:eastAsia="仿宋_GB2312" w:cs="仿宋_GB2312"/>
        </w:rPr>
        <w:br w:type="page"/>
      </w:r>
    </w:p>
    <w:p w14:paraId="1C223AAB">
      <w:pPr>
        <w:pStyle w:val="33"/>
        <w:jc w:val="center"/>
        <w:outlineLvl w:val="9"/>
        <w:rPr>
          <w:rFonts w:hint="eastAsia" w:ascii="宋体" w:hAnsi="宋体" w:eastAsia="宋体" w:cs="宋体"/>
          <w:sz w:val="32"/>
          <w:szCs w:val="32"/>
        </w:rPr>
      </w:pPr>
      <w:r>
        <w:rPr>
          <w:rFonts w:hint="eastAsia" w:ascii="宋体" w:hAnsi="宋体" w:eastAsia="宋体" w:cs="宋体"/>
          <w:b/>
          <w:sz w:val="32"/>
          <w:szCs w:val="32"/>
        </w:rPr>
        <w:t>二、投标人的资格及资信证明文件</w:t>
      </w:r>
    </w:p>
    <w:p w14:paraId="50852AEF">
      <w:pPr>
        <w:pStyle w:val="33"/>
        <w:jc w:val="center"/>
        <w:outlineLvl w:val="9"/>
        <w:rPr>
          <w:rFonts w:hint="eastAsia" w:ascii="宋体" w:hAnsi="宋体" w:eastAsia="宋体" w:cs="宋体"/>
          <w:sz w:val="32"/>
          <w:szCs w:val="32"/>
        </w:rPr>
      </w:pPr>
      <w:r>
        <w:rPr>
          <w:rFonts w:hint="eastAsia" w:ascii="宋体" w:hAnsi="宋体" w:eastAsia="宋体" w:cs="宋体"/>
          <w:b/>
          <w:sz w:val="32"/>
          <w:szCs w:val="32"/>
        </w:rPr>
        <w:t>二-1单位授权书（若有）</w:t>
      </w:r>
    </w:p>
    <w:p w14:paraId="5C160A4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0399AA8">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（填写“投标人代表全名”）</w:t>
      </w:r>
      <w:r>
        <w:rPr>
          <w:rFonts w:hint="eastAsia" w:ascii="宋体" w:hAnsi="宋体" w:eastAsia="宋体" w:cs="宋体"/>
          <w:sz w:val="24"/>
          <w:szCs w:val="24"/>
        </w:rPr>
        <w:t>为投标人代表，代表我方参加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1D3F91F">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投标人代表无转委权。特此授权。</w:t>
      </w:r>
    </w:p>
    <w:p w14:paraId="2D59577D">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3B92C8C8">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7ACF933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2B4EED3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授权方</w:t>
      </w:r>
    </w:p>
    <w:p w14:paraId="0F37FD5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8661D7F">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签署日期： 年 月 日</w:t>
      </w:r>
    </w:p>
    <w:p w14:paraId="463DB5D0">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14:paraId="0FAABDF3">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14:paraId="6DE35AFE">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A8D8801">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7514339A">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71115CF">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64A8D4CA">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4、投标人为自然人的，可不填写本授权书。</w:t>
      </w:r>
    </w:p>
    <w:p w14:paraId="2E33D558">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514EEF">
      <w:pPr>
        <w:pStyle w:val="33"/>
        <w:jc w:val="center"/>
        <w:outlineLvl w:val="9"/>
      </w:pPr>
      <w:r>
        <w:rPr>
          <w:rFonts w:hint="eastAsia" w:ascii="宋体" w:hAnsi="宋体" w:eastAsia="宋体" w:cs="宋体"/>
          <w:b/>
          <w:sz w:val="32"/>
          <w:szCs w:val="32"/>
        </w:rPr>
        <w:t>二-2 证明材料</w:t>
      </w:r>
    </w:p>
    <w:p w14:paraId="5B890D8E">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6484963">
      <w:pPr>
        <w:pStyle w:val="33"/>
        <w:jc w:val="center"/>
        <w:outlineLvl w:val="9"/>
      </w:pPr>
      <w:r>
        <w:rPr>
          <w:rFonts w:hint="eastAsia" w:ascii="宋体" w:hAnsi="宋体" w:eastAsia="宋体" w:cs="宋体"/>
          <w:b/>
          <w:sz w:val="32"/>
          <w:szCs w:val="32"/>
        </w:rPr>
        <w:t>二-2-1 福建省政府采购供应商资格承诺函</w:t>
      </w:r>
    </w:p>
    <w:p w14:paraId="31E4B70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E2AB10E">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E54FCC6">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68BB65B3">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EE911D2">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3228FFFA">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774D700E">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1FB24C43">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1D2F620D">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5AD1ACED">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6819F0B">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29A13BE8">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743F0E74">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251C93E">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B636B8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623D028">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6A10A5EF">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DE2C5F0">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13377CD1">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0CFD866">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36B9E2FF">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656096">
      <w:pPr>
        <w:pStyle w:val="33"/>
        <w:jc w:val="center"/>
        <w:outlineLvl w:val="9"/>
        <w:rPr>
          <w:rFonts w:hint="eastAsia" w:ascii="宋体" w:hAnsi="宋体" w:eastAsia="宋体" w:cs="宋体"/>
          <w:sz w:val="32"/>
          <w:szCs w:val="32"/>
        </w:rPr>
      </w:pPr>
      <w:r>
        <w:rPr>
          <w:rFonts w:hint="eastAsia" w:ascii="宋体" w:hAnsi="宋体" w:eastAsia="宋体" w:cs="宋体"/>
          <w:b/>
          <w:sz w:val="32"/>
          <w:szCs w:val="32"/>
        </w:rPr>
        <w:t>二-2-2 资格证明材料</w:t>
      </w:r>
    </w:p>
    <w:p w14:paraId="41CD94C0">
      <w:pPr>
        <w:pStyle w:val="33"/>
        <w:jc w:val="center"/>
        <w:outlineLvl w:val="9"/>
        <w:rPr>
          <w:rFonts w:hint="eastAsia" w:ascii="宋体" w:hAnsi="宋体" w:eastAsia="宋体" w:cs="宋体"/>
          <w:sz w:val="32"/>
          <w:szCs w:val="32"/>
        </w:rPr>
      </w:pPr>
      <w:r>
        <w:rPr>
          <w:rFonts w:hint="eastAsia" w:ascii="宋体" w:hAnsi="宋体" w:eastAsia="宋体" w:cs="宋体"/>
          <w:b/>
          <w:sz w:val="32"/>
          <w:szCs w:val="32"/>
        </w:rPr>
        <w:t>营业执照等证明文件</w:t>
      </w:r>
    </w:p>
    <w:p w14:paraId="688D44B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45B76AF">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14:paraId="35D0F0F7">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14:paraId="45469F9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14:paraId="61FC0A2A">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14:paraId="241B505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14:paraId="2CCEE4EC">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439A68C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14:paraId="30A8D9C4">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D72968D">
      <w:pPr>
        <w:pStyle w:val="33"/>
        <w:keepNext w:val="0"/>
        <w:keepLines w:val="0"/>
        <w:pageBreakBefore w:val="0"/>
        <w:widowControl/>
        <w:kinsoku/>
        <w:wordWrap/>
        <w:overflowPunct/>
        <w:topLinePunct w:val="0"/>
        <w:autoSpaceDE/>
        <w:autoSpaceDN/>
        <w:bidi w:val="0"/>
        <w:adjustRightInd/>
        <w:snapToGrid/>
        <w:spacing w:line="48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35D2E85B">
      <w:pPr>
        <w:pStyle w:val="33"/>
        <w:keepNext w:val="0"/>
        <w:keepLines w:val="0"/>
        <w:pageBreakBefore w:val="0"/>
        <w:widowControl/>
        <w:kinsoku/>
        <w:wordWrap/>
        <w:overflowPunct/>
        <w:topLinePunct w:val="0"/>
        <w:autoSpaceDE/>
        <w:autoSpaceDN/>
        <w:bidi w:val="0"/>
        <w:adjustRightInd/>
        <w:snapToGrid/>
        <w:spacing w:line="48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0F2AC9C">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850A17">
      <w:pPr>
        <w:pStyle w:val="33"/>
        <w:jc w:val="center"/>
        <w:outlineLvl w:val="9"/>
      </w:pPr>
      <w:r>
        <w:rPr>
          <w:rFonts w:hint="eastAsia" w:ascii="宋体" w:hAnsi="宋体" w:eastAsia="宋体" w:cs="宋体"/>
          <w:b/>
          <w:sz w:val="32"/>
          <w:szCs w:val="32"/>
        </w:rPr>
        <w:t>财务状况报告（财务报告、或资信证明）</w:t>
      </w:r>
    </w:p>
    <w:p w14:paraId="53112ACB">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FC7EF6A">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）投标人提供财务报告的</w:t>
      </w:r>
    </w:p>
    <w:p w14:paraId="234AEB6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2DA6423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2A29825A">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65DC9FEB">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）投标人提供资信证明的</w:t>
      </w:r>
    </w:p>
    <w:p w14:paraId="00ECA7A8">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00A0AC0A">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72F176F9">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621FE9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14:paraId="27A4CD8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14:paraId="77B3DD7A">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14:paraId="1EF73506">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14:paraId="29427353">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A251667">
      <w:pPr>
        <w:pStyle w:val="33"/>
        <w:keepNext w:val="0"/>
        <w:keepLines w:val="0"/>
        <w:pageBreakBefore w:val="0"/>
        <w:widowControl/>
        <w:kinsoku/>
        <w:wordWrap/>
        <w:overflowPunct/>
        <w:topLinePunct w:val="0"/>
        <w:autoSpaceDE/>
        <w:autoSpaceDN/>
        <w:bidi w:val="0"/>
        <w:adjustRightInd/>
        <w:snapToGrid/>
        <w:spacing w:line="46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55B4A05">
      <w:pPr>
        <w:pStyle w:val="33"/>
        <w:keepNext w:val="0"/>
        <w:keepLines w:val="0"/>
        <w:pageBreakBefore w:val="0"/>
        <w:widowControl/>
        <w:kinsoku/>
        <w:wordWrap/>
        <w:overflowPunct/>
        <w:topLinePunct w:val="0"/>
        <w:autoSpaceDE/>
        <w:autoSpaceDN/>
        <w:bidi w:val="0"/>
        <w:adjustRightInd/>
        <w:snapToGrid/>
        <w:spacing w:line="46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167E6A2">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ascii="仿宋_GB2312" w:hAnsi="仿宋_GB2312" w:eastAsia="仿宋_GB2312" w:cs="仿宋_GB2312"/>
        </w:rPr>
        <w:br w:type="page"/>
      </w:r>
    </w:p>
    <w:p w14:paraId="0DC6C2BF">
      <w:pPr>
        <w:pStyle w:val="33"/>
        <w:jc w:val="center"/>
        <w:outlineLvl w:val="9"/>
      </w:pPr>
      <w:r>
        <w:rPr>
          <w:rFonts w:hint="eastAsia" w:ascii="宋体" w:hAnsi="宋体" w:eastAsia="宋体" w:cs="宋体"/>
          <w:b/>
          <w:sz w:val="32"/>
          <w:szCs w:val="32"/>
        </w:rPr>
        <w:t>依法缴纳税收证明材料</w:t>
      </w:r>
    </w:p>
    <w:p w14:paraId="0BF71D57">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1463248">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1、依法缴纳税收的投标人</w:t>
      </w:r>
    </w:p>
    <w:p w14:paraId="66363480">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557581EF">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007A9FF5">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506D1A70">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0F6DC10">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2、依法免税的投标人</w:t>
      </w:r>
    </w:p>
    <w:p w14:paraId="14E2C450">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14:paraId="6EDF9FE8">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4203D433">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14:paraId="71A4D867">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14:paraId="04F71595">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2B86FEE8">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14:paraId="7CB7FAA9">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14:paraId="69680D6A">
      <w:pPr>
        <w:pStyle w:val="33"/>
        <w:keepNext w:val="0"/>
        <w:keepLines w:val="0"/>
        <w:pageBreakBefore w:val="0"/>
        <w:widowControl/>
        <w:kinsoku/>
        <w:wordWrap/>
        <w:overflowPunct/>
        <w:topLinePunct w:val="0"/>
        <w:autoSpaceDE/>
        <w:autoSpaceDN/>
        <w:bidi w:val="0"/>
        <w:adjustRightInd/>
        <w:snapToGrid/>
        <w:spacing w:line="46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7E091971">
      <w:pPr>
        <w:pStyle w:val="33"/>
        <w:keepNext w:val="0"/>
        <w:keepLines w:val="0"/>
        <w:pageBreakBefore w:val="0"/>
        <w:widowControl/>
        <w:kinsoku/>
        <w:wordWrap/>
        <w:overflowPunct/>
        <w:topLinePunct w:val="0"/>
        <w:autoSpaceDE/>
        <w:autoSpaceDN/>
        <w:bidi w:val="0"/>
        <w:adjustRightInd/>
        <w:snapToGrid/>
        <w:spacing w:line="46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DAECE4B">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ascii="仿宋_GB2312" w:hAnsi="仿宋_GB2312" w:eastAsia="仿宋_GB2312" w:cs="仿宋_GB2312"/>
        </w:rPr>
        <w:br w:type="page"/>
      </w:r>
    </w:p>
    <w:p w14:paraId="28AF1B23">
      <w:pPr>
        <w:pStyle w:val="33"/>
        <w:jc w:val="center"/>
        <w:outlineLvl w:val="9"/>
      </w:pPr>
      <w:r>
        <w:rPr>
          <w:rFonts w:hint="eastAsia" w:ascii="宋体" w:hAnsi="宋体" w:eastAsia="宋体" w:cs="宋体"/>
          <w:b/>
          <w:sz w:val="32"/>
          <w:szCs w:val="32"/>
        </w:rPr>
        <w:t>依法缴纳社会保障资金证明材料</w:t>
      </w:r>
    </w:p>
    <w:p w14:paraId="0D839B8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05BF3C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14:paraId="7C64829A">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0F00CC6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91D9996">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1FD79985">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1FCF5B38">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14:paraId="2767A5A4">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14:paraId="246CBB87">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13BCEAB">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14:paraId="72D28FBD">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14:paraId="77EE5B22">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25E69D39">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14:paraId="116B6230">
      <w:pPr>
        <w:pStyle w:val="33"/>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555282D2">
      <w:pPr>
        <w:pStyle w:val="33"/>
        <w:keepNext w:val="0"/>
        <w:keepLines w:val="0"/>
        <w:pageBreakBefore w:val="0"/>
        <w:widowControl/>
        <w:kinsoku/>
        <w:wordWrap/>
        <w:overflowPunct/>
        <w:topLinePunct w:val="0"/>
        <w:autoSpaceDE/>
        <w:autoSpaceDN/>
        <w:bidi w:val="0"/>
        <w:adjustRightInd/>
        <w:snapToGrid/>
        <w:spacing w:line="46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B31A12E">
      <w:pPr>
        <w:pStyle w:val="33"/>
        <w:keepNext w:val="0"/>
        <w:keepLines w:val="0"/>
        <w:pageBreakBefore w:val="0"/>
        <w:widowControl/>
        <w:kinsoku/>
        <w:wordWrap/>
        <w:overflowPunct/>
        <w:topLinePunct w:val="0"/>
        <w:autoSpaceDE/>
        <w:autoSpaceDN/>
        <w:bidi w:val="0"/>
        <w:adjustRightInd/>
        <w:snapToGrid/>
        <w:spacing w:line="46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B374412">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107717">
      <w:pPr>
        <w:pStyle w:val="33"/>
        <w:jc w:val="center"/>
        <w:outlineLvl w:val="9"/>
      </w:pPr>
      <w:r>
        <w:rPr>
          <w:rFonts w:hint="eastAsia" w:ascii="宋体" w:hAnsi="宋体" w:eastAsia="宋体" w:cs="宋体"/>
          <w:b/>
          <w:sz w:val="32"/>
          <w:szCs w:val="32"/>
        </w:rPr>
        <w:t>具备履行合同所必需设备和专业技术能力的声明函（若有）</w:t>
      </w:r>
    </w:p>
    <w:p w14:paraId="0FC1E5F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65059F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14:paraId="0A1F5034">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65972EC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CE98C74">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14:paraId="1CE6E326">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14:paraId="5C8D799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14:paraId="2B9D47F1">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7BE79D38">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BCEF7DD">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B4EA6">
      <w:pPr>
        <w:pStyle w:val="33"/>
        <w:jc w:val="center"/>
        <w:outlineLvl w:val="9"/>
      </w:pPr>
      <w:r>
        <w:rPr>
          <w:rFonts w:hint="eastAsia" w:ascii="宋体" w:hAnsi="宋体" w:eastAsia="宋体" w:cs="宋体"/>
          <w:b/>
          <w:sz w:val="32"/>
          <w:szCs w:val="32"/>
        </w:rPr>
        <w:t>参加采购活动前三年内在经营活动中没有重大违法记录书面声明</w:t>
      </w:r>
    </w:p>
    <w:p w14:paraId="4697C21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56430B8">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77AD385">
      <w:pPr>
        <w:pStyle w:val="33"/>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4128849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932710B">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17231C0">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14:paraId="41ECAFF7">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21D92B1C">
      <w:pPr>
        <w:pStyle w:val="33"/>
        <w:keepNext w:val="0"/>
        <w:keepLines w:val="0"/>
        <w:pageBreakBefore w:val="0"/>
        <w:widowControl/>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8984322">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4CEFDE">
      <w:pPr>
        <w:pStyle w:val="33"/>
        <w:jc w:val="center"/>
        <w:outlineLvl w:val="9"/>
      </w:pPr>
      <w:r>
        <w:rPr>
          <w:rFonts w:hint="eastAsia" w:ascii="宋体" w:hAnsi="宋体" w:eastAsia="宋体" w:cs="宋体"/>
          <w:b/>
          <w:sz w:val="32"/>
          <w:szCs w:val="32"/>
        </w:rPr>
        <w:t>二-3信用记录查询提示</w:t>
      </w:r>
    </w:p>
    <w:p w14:paraId="1051D905">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14:paraId="0BA20FDB">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F3A9678">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77E4F1D">
      <w:pPr>
        <w:pStyle w:val="33"/>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119314">
      <w:pPr>
        <w:pStyle w:val="33"/>
        <w:jc w:val="center"/>
        <w:outlineLvl w:val="9"/>
      </w:pPr>
      <w:r>
        <w:rPr>
          <w:rFonts w:hint="eastAsia" w:ascii="宋体" w:hAnsi="宋体" w:eastAsia="宋体" w:cs="宋体"/>
          <w:b/>
          <w:sz w:val="32"/>
          <w:szCs w:val="32"/>
        </w:rPr>
        <w:t>二-</w:t>
      </w:r>
      <w:r>
        <w:rPr>
          <w:rFonts w:hint="eastAsia" w:ascii="宋体" w:hAnsi="宋体" w:eastAsia="宋体" w:cs="宋体"/>
          <w:b/>
          <w:sz w:val="32"/>
          <w:szCs w:val="32"/>
          <w:lang w:val="en-US" w:eastAsia="zh-CN"/>
        </w:rPr>
        <w:t>4</w:t>
      </w:r>
      <w:r>
        <w:rPr>
          <w:rFonts w:hint="eastAsia" w:ascii="宋体" w:hAnsi="宋体" w:eastAsia="宋体" w:cs="宋体"/>
          <w:b/>
          <w:sz w:val="32"/>
          <w:szCs w:val="32"/>
        </w:rPr>
        <w:t>联合体协议（若有）</w:t>
      </w:r>
    </w:p>
    <w:p w14:paraId="7E34177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D2D11B2">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14:paraId="3B2C412B">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14:paraId="39361E6B">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 xml:space="preserve">（填写“工作及义务的具体内容”） </w:t>
      </w:r>
      <w:r>
        <w:rPr>
          <w:rFonts w:hint="eastAsia" w:ascii="宋体" w:hAnsi="宋体" w:eastAsia="宋体" w:cs="宋体"/>
          <w:sz w:val="24"/>
          <w:szCs w:val="24"/>
        </w:rPr>
        <w:t>；</w:t>
      </w:r>
    </w:p>
    <w:p w14:paraId="4CE33A0E">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2、成员方：</w:t>
      </w:r>
    </w:p>
    <w:p w14:paraId="34294BC0">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xml:space="preserve"> ；</w:t>
      </w:r>
    </w:p>
    <w:p w14:paraId="3DE20F0A">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3BC2EDAB">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14:paraId="064FB51B">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xml:space="preserve"> 全称</w:t>
      </w:r>
      <w:r>
        <w:rPr>
          <w:rFonts w:hint="eastAsia" w:ascii="宋体" w:hAnsi="宋体" w:eastAsia="宋体" w:cs="宋体"/>
          <w:sz w:val="24"/>
          <w:szCs w:val="24"/>
        </w:rPr>
        <w:t xml:space="preserve">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2CD89C62">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2.成员方：</w:t>
      </w:r>
    </w:p>
    <w:p w14:paraId="7AEA315F">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xml:space="preserve">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3CD195E3">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7826052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三、联合体各方约定：</w:t>
      </w:r>
    </w:p>
    <w:p w14:paraId="281C3863">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220ED9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14:paraId="7AF66886">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BDE37E3">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AD4011C">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14:paraId="4305F38F">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14:paraId="777EFF3F">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3FCCCB80">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14:paraId="6A250D12">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5975961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14:paraId="5D51BC2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2007835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3E87AA28">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14:paraId="4044773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501A4288">
      <w:pPr>
        <w:pStyle w:val="33"/>
        <w:keepNext w:val="0"/>
        <w:keepLines w:val="0"/>
        <w:pageBreakBefore w:val="0"/>
        <w:widowControl/>
        <w:kinsoku/>
        <w:wordWrap/>
        <w:overflowPunct/>
        <w:topLinePunct w:val="0"/>
        <w:autoSpaceDE/>
        <w:autoSpaceDN/>
        <w:bidi w:val="0"/>
        <w:adjustRightInd/>
        <w:snapToGrid/>
        <w:spacing w:line="480" w:lineRule="exact"/>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14:paraId="1E3DD2CB">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1244D716">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14:paraId="728ED296">
      <w:pPr>
        <w:pStyle w:val="33"/>
        <w:spacing w:line="480" w:lineRule="exact"/>
        <w:ind w:firstLine="482"/>
        <w:jc w:val="left"/>
      </w:pPr>
      <w:r>
        <w:rPr>
          <w:rFonts w:hint="eastAsia" w:ascii="宋体" w:hAnsi="宋体" w:eastAsia="宋体" w:cs="宋体"/>
          <w:sz w:val="24"/>
          <w:szCs w:val="24"/>
        </w:rPr>
        <w:t>2、本协议由委托代理人签字或盖章的，应按照本章载明的格式提供“单位授权书”。</w:t>
      </w: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123E6A">
      <w:pPr>
        <w:pStyle w:val="33"/>
        <w:jc w:val="center"/>
        <w:outlineLvl w:val="9"/>
      </w:pPr>
      <w:r>
        <w:rPr>
          <w:rFonts w:hint="eastAsia" w:ascii="宋体" w:hAnsi="宋体" w:eastAsia="宋体" w:cs="宋体"/>
          <w:b/>
          <w:sz w:val="32"/>
          <w:szCs w:val="32"/>
        </w:rPr>
        <w:t>二-6分包意向协议（若有）</w:t>
      </w:r>
    </w:p>
    <w:p w14:paraId="241DE0B7">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14:paraId="1398773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14:paraId="1977E34B">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0D67AFE9">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一、分包标的</w:t>
      </w:r>
    </w:p>
    <w:p w14:paraId="0CADE972">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14:paraId="37A297DB">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二、分包合同金额占比</w:t>
      </w:r>
    </w:p>
    <w:p w14:paraId="7E6E7BF7">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14:paraId="1B7B51B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三、其他条款</w:t>
      </w:r>
    </w:p>
    <w:p w14:paraId="34A5C48E">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5BCD6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088B91E">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2500" w:type="pct"/>
          </w:tcPr>
          <w:p w14:paraId="6BC76431">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w:t>
            </w:r>
          </w:p>
        </w:tc>
      </w:tr>
      <w:tr w14:paraId="7BF86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2E32F10">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住所：</w:t>
            </w:r>
          </w:p>
        </w:tc>
        <w:tc>
          <w:tcPr>
            <w:tcW w:w="2500" w:type="pct"/>
          </w:tcPr>
          <w:p w14:paraId="5F98A6AC">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住所：</w:t>
            </w:r>
          </w:p>
        </w:tc>
      </w:tr>
      <w:tr w14:paraId="14E68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D9A4875">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2500" w:type="pct"/>
          </w:tcPr>
          <w:p w14:paraId="4DE3E83F">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14:paraId="30F33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FE57C3C">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联系方法：</w:t>
            </w:r>
          </w:p>
        </w:tc>
        <w:tc>
          <w:tcPr>
            <w:tcW w:w="2500" w:type="pct"/>
          </w:tcPr>
          <w:p w14:paraId="6AB40DBA">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联系方法：</w:t>
            </w:r>
          </w:p>
        </w:tc>
      </w:tr>
      <w:tr w14:paraId="5E955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95B229A">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2500" w:type="pct"/>
          </w:tcPr>
          <w:p w14:paraId="61C96138">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14:paraId="72AA9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0C5EC4A">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2500" w:type="pct"/>
          </w:tcPr>
          <w:p w14:paraId="118CE2A7">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账号：</w:t>
            </w:r>
          </w:p>
        </w:tc>
      </w:tr>
      <w:tr w14:paraId="080CE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1E10C9B7">
            <w:pPr>
              <w:pStyle w:val="33"/>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14:paraId="492906D8">
            <w:pPr>
              <w:pStyle w:val="33"/>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14:paraId="22CDA627">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125489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14:paraId="4316225A">
      <w:pPr>
        <w:pStyle w:val="33"/>
        <w:spacing w:line="480" w:lineRule="exact"/>
        <w:ind w:firstLine="480"/>
        <w:jc w:val="left"/>
      </w:pPr>
      <w:r>
        <w:rPr>
          <w:rFonts w:hint="eastAsia" w:ascii="宋体" w:hAnsi="宋体" w:eastAsia="宋体" w:cs="宋体"/>
          <w:sz w:val="24"/>
          <w:szCs w:val="24"/>
        </w:rPr>
        <w:t>2.本协议由委托代理人签字或盖章的，应按照本章载明的格式提供“单位授权书”。</w:t>
      </w: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203894">
      <w:pPr>
        <w:pStyle w:val="33"/>
        <w:jc w:val="center"/>
        <w:outlineLvl w:val="9"/>
        <w:rPr>
          <w:rFonts w:hint="eastAsia" w:ascii="宋体" w:hAnsi="宋体" w:eastAsia="宋体" w:cs="宋体"/>
          <w:b/>
          <w:sz w:val="32"/>
          <w:szCs w:val="32"/>
        </w:rPr>
      </w:pPr>
      <w:r>
        <w:rPr>
          <w:rFonts w:hint="eastAsia" w:ascii="宋体" w:hAnsi="宋体" w:eastAsia="宋体" w:cs="宋体"/>
          <w:b/>
          <w:sz w:val="32"/>
          <w:szCs w:val="32"/>
        </w:rPr>
        <w:t>二-7其他资格证明文件（若有）</w:t>
      </w:r>
    </w:p>
    <w:p w14:paraId="473B4E4E">
      <w:pPr>
        <w:pStyle w:val="33"/>
        <w:jc w:val="center"/>
        <w:outlineLvl w:val="9"/>
        <w:rPr>
          <w:rFonts w:hint="eastAsia" w:ascii="宋体" w:hAnsi="宋体" w:eastAsia="宋体" w:cs="宋体"/>
          <w:b/>
          <w:sz w:val="32"/>
          <w:szCs w:val="32"/>
        </w:rPr>
      </w:pPr>
      <w:r>
        <w:rPr>
          <w:rFonts w:hint="eastAsia" w:ascii="宋体" w:hAnsi="宋体" w:eastAsia="宋体" w:cs="宋体"/>
          <w:b/>
          <w:sz w:val="32"/>
          <w:szCs w:val="32"/>
        </w:rPr>
        <w:t>二-7-①招标文件规定的其他资格证明文件（若有）</w:t>
      </w:r>
    </w:p>
    <w:p w14:paraId="63DDEE04">
      <w:pPr>
        <w:pStyle w:val="33"/>
        <w:keepNext w:val="0"/>
        <w:keepLines w:val="0"/>
        <w:pageBreakBefore w:val="0"/>
        <w:widowControl/>
        <w:kinsoku/>
        <w:wordWrap/>
        <w:overflowPunct/>
        <w:topLinePunct w:val="0"/>
        <w:autoSpaceDE/>
        <w:autoSpaceDN/>
        <w:bidi w:val="0"/>
        <w:adjustRightInd/>
        <w:snapToGrid/>
        <w:spacing w:line="480" w:lineRule="exact"/>
        <w:ind w:firstLine="482"/>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3E47B00E">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14:paraId="071E7783">
      <w:pPr>
        <w:pStyle w:val="33"/>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3EA3C9">
      <w:pPr>
        <w:pStyle w:val="33"/>
        <w:jc w:val="center"/>
        <w:outlineLvl w:val="9"/>
      </w:pPr>
      <w:r>
        <w:rPr>
          <w:rFonts w:hint="eastAsia" w:ascii="宋体" w:hAnsi="宋体" w:eastAsia="宋体" w:cs="宋体"/>
          <w:b/>
          <w:sz w:val="32"/>
          <w:szCs w:val="32"/>
        </w:rPr>
        <w:t>三、投标保证金</w:t>
      </w:r>
    </w:p>
    <w:p w14:paraId="03561111">
      <w:pPr>
        <w:pStyle w:val="33"/>
        <w:keepNext w:val="0"/>
        <w:keepLines w:val="0"/>
        <w:pageBreakBefore w:val="0"/>
        <w:widowControl/>
        <w:kinsoku/>
        <w:wordWrap/>
        <w:overflowPunct/>
        <w:topLinePunct w:val="0"/>
        <w:autoSpaceDE/>
        <w:autoSpaceDN/>
        <w:bidi w:val="0"/>
        <w:adjustRightInd/>
        <w:snapToGrid/>
        <w:spacing w:line="480" w:lineRule="exact"/>
        <w:ind w:firstLine="482"/>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53B3672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w:t>
      </w:r>
      <w:r>
        <w:rPr>
          <w:rFonts w:hint="eastAsia" w:ascii="宋体" w:hAnsi="宋体" w:eastAsia="宋体" w:cs="宋体"/>
          <w:sz w:val="24"/>
          <w:szCs w:val="24"/>
          <w:lang w:eastAsia="zh-CN"/>
        </w:rPr>
        <w:t>福建省政府采购网上公开信息系统（自采平台）</w:t>
      </w:r>
      <w:r>
        <w:rPr>
          <w:rFonts w:hint="eastAsia" w:ascii="宋体" w:hAnsi="宋体" w:eastAsia="宋体" w:cs="宋体"/>
          <w:sz w:val="24"/>
          <w:szCs w:val="24"/>
        </w:rPr>
        <w:t>中下载的有关原始页面的打印件。</w:t>
      </w:r>
    </w:p>
    <w:p w14:paraId="71859E53">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pPr>
      <w:r>
        <w:rPr>
          <w:rFonts w:hint="eastAsia" w:ascii="宋体" w:hAnsi="宋体" w:eastAsia="宋体" w:cs="宋体"/>
          <w:sz w:val="24"/>
          <w:szCs w:val="24"/>
        </w:rPr>
        <w:t>2、投标保证金是否已提交的认定按照招标文件第三章规定执行。</w:t>
      </w:r>
    </w:p>
    <w:p w14:paraId="7A19D762">
      <w:pPr>
        <w:pStyle w:val="33"/>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3A8A9C">
      <w:pPr>
        <w:pStyle w:val="33"/>
        <w:jc w:val="center"/>
        <w:outlineLvl w:val="1"/>
        <w:rPr>
          <w:rFonts w:hint="eastAsia" w:ascii="宋体" w:hAnsi="宋体" w:eastAsia="宋体" w:cs="宋体"/>
        </w:rPr>
      </w:pPr>
      <w:bookmarkStart w:id="45" w:name="_Toc4524"/>
      <w:r>
        <w:rPr>
          <w:rFonts w:hint="eastAsia" w:ascii="宋体" w:hAnsi="宋体" w:eastAsia="宋体" w:cs="宋体"/>
          <w:b/>
          <w:sz w:val="28"/>
        </w:rPr>
        <w:t>封面格式(报价部分)</w:t>
      </w:r>
      <w:bookmarkEnd w:id="45"/>
    </w:p>
    <w:p w14:paraId="6BDD6BC9">
      <w:pPr>
        <w:pStyle w:val="33"/>
        <w:jc w:val="center"/>
        <w:outlineLvl w:val="9"/>
        <w:rPr>
          <w:rFonts w:hint="eastAsia" w:ascii="宋体" w:hAnsi="宋体" w:eastAsia="宋体" w:cs="宋体"/>
        </w:rPr>
      </w:pPr>
      <w:r>
        <w:rPr>
          <w:rFonts w:hint="eastAsia" w:ascii="宋体" w:hAnsi="宋体" w:eastAsia="宋体" w:cs="宋体"/>
          <w:b/>
          <w:bCs/>
          <w:sz w:val="52"/>
          <w:szCs w:val="52"/>
          <w:lang w:eastAsia="zh-CN"/>
        </w:rPr>
        <w:t>福建省厦门监狱投标文件</w:t>
      </w:r>
    </w:p>
    <w:p w14:paraId="60B5503E">
      <w:pPr>
        <w:pStyle w:val="33"/>
        <w:jc w:val="center"/>
        <w:outlineLvl w:val="9"/>
        <w:rPr>
          <w:rFonts w:hint="eastAsia" w:ascii="宋体" w:hAnsi="宋体" w:eastAsia="宋体" w:cs="宋体"/>
        </w:rPr>
      </w:pPr>
      <w:r>
        <w:rPr>
          <w:rFonts w:hint="eastAsia" w:ascii="宋体" w:hAnsi="宋体" w:eastAsia="宋体" w:cs="宋体"/>
          <w:b/>
          <w:sz w:val="48"/>
        </w:rPr>
        <w:t>（报价部分）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DA5ABB3">
      <w:pPr>
        <w:pStyle w:val="33"/>
        <w:jc w:val="center"/>
        <w:outlineLvl w:val="9"/>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3567285">
      <w:pPr>
        <w:pStyle w:val="33"/>
        <w:jc w:val="center"/>
        <w:outlineLvl w:val="9"/>
        <w:rPr>
          <w:rFonts w:hint="eastAsia" w:ascii="宋体" w:hAnsi="宋体" w:eastAsia="宋体" w:cs="宋体"/>
        </w:rPr>
      </w:pPr>
      <w:r>
        <w:rPr>
          <w:rFonts w:hint="eastAsia" w:ascii="宋体" w:hAnsi="宋体" w:eastAsia="宋体" w:cs="宋体"/>
          <w:b/>
          <w:sz w:val="28"/>
        </w:rPr>
        <w:t>（项目名称：（由投标人填写）</w:t>
      </w:r>
    </w:p>
    <w:p w14:paraId="69197E41">
      <w:pPr>
        <w:pStyle w:val="33"/>
        <w:jc w:val="center"/>
        <w:outlineLvl w:val="9"/>
        <w:rPr>
          <w:rFonts w:hint="eastAsia" w:ascii="宋体" w:hAnsi="宋体" w:eastAsia="宋体" w:cs="宋体"/>
        </w:rPr>
      </w:pPr>
      <w:r>
        <w:rPr>
          <w:rFonts w:hint="eastAsia" w:ascii="宋体" w:hAnsi="宋体" w:eastAsia="宋体" w:cs="宋体"/>
          <w:b/>
          <w:sz w:val="28"/>
        </w:rPr>
        <w:t>（备案编号：（由投标人填写）</w:t>
      </w:r>
    </w:p>
    <w:p w14:paraId="3A56311D">
      <w:pPr>
        <w:pStyle w:val="33"/>
        <w:jc w:val="center"/>
        <w:outlineLvl w:val="9"/>
        <w:rPr>
          <w:rFonts w:hint="eastAsia" w:ascii="宋体" w:hAnsi="宋体" w:eastAsia="宋体" w:cs="宋体"/>
        </w:rPr>
      </w:pPr>
      <w:r>
        <w:rPr>
          <w:rFonts w:hint="eastAsia" w:ascii="宋体" w:hAnsi="宋体" w:eastAsia="宋体" w:cs="宋体"/>
          <w:b/>
          <w:sz w:val="28"/>
        </w:rPr>
        <w:t>（项目编号：（由投标人填写）</w:t>
      </w:r>
    </w:p>
    <w:p w14:paraId="7EA3AFDE">
      <w:pPr>
        <w:pStyle w:val="33"/>
        <w:jc w:val="center"/>
        <w:outlineLvl w:val="9"/>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2CD2680E">
      <w:pPr>
        <w:pStyle w:val="33"/>
        <w:jc w:val="center"/>
        <w:outlineLvl w:val="9"/>
        <w:rPr>
          <w:rFonts w:hint="eastAsia" w:ascii="宋体" w:hAnsi="宋体" w:eastAsia="宋体" w:cs="宋体"/>
        </w:rPr>
      </w:pPr>
      <w:r>
        <w:rPr>
          <w:rFonts w:hint="eastAsia" w:ascii="宋体" w:hAnsi="宋体" w:eastAsia="宋体" w:cs="宋体"/>
          <w:b/>
          <w:sz w:val="28"/>
        </w:rPr>
        <w:t>投标人：（填写“全称”）</w:t>
      </w:r>
    </w:p>
    <w:p w14:paraId="43C7BB1C">
      <w:pPr>
        <w:pStyle w:val="33"/>
        <w:jc w:val="center"/>
        <w:outlineLvl w:val="9"/>
        <w:rPr>
          <w:rFonts w:hint="eastAsia" w:ascii="宋体" w:hAnsi="宋体" w:eastAsia="宋体" w:cs="宋体"/>
        </w:rPr>
      </w:pPr>
      <w:r>
        <w:rPr>
          <w:rFonts w:hint="eastAsia" w:ascii="宋体" w:hAnsi="宋体" w:eastAsia="宋体" w:cs="宋体"/>
          <w:b/>
          <w:sz w:val="28"/>
        </w:rPr>
        <w:t>（由投标人填写）年（由投标人填写）月</w:t>
      </w:r>
    </w:p>
    <w:p w14:paraId="323469B4">
      <w:pPr>
        <w:pStyle w:val="33"/>
      </w:pPr>
      <w:r>
        <w:rPr>
          <w:rFonts w:hint="eastAsia" w:ascii="宋体" w:hAnsi="宋体" w:eastAsia="宋体" w:cs="宋体"/>
        </w:rPr>
        <w:t xml:space="preserve"> </w:t>
      </w:r>
      <w:r>
        <w:rPr>
          <w:rFonts w:hint="eastAsia" w:ascii="宋体" w:hAnsi="宋体" w:eastAsia="宋体" w:cs="宋体"/>
        </w:rPr>
        <w:br w:type="textWrapping"/>
      </w:r>
      <w:r>
        <w:rPr>
          <w:rFonts w:ascii="仿宋_GB2312" w:hAnsi="仿宋_GB2312" w:eastAsia="仿宋_GB2312" w:cs="仿宋_GB2312"/>
        </w:rPr>
        <w:br w:type="page"/>
      </w:r>
    </w:p>
    <w:p w14:paraId="09A29EA1">
      <w:pPr>
        <w:pStyle w:val="33"/>
        <w:jc w:val="center"/>
        <w:outlineLvl w:val="9"/>
      </w:pPr>
      <w:r>
        <w:rPr>
          <w:rFonts w:ascii="仿宋_GB2312" w:hAnsi="仿宋_GB2312" w:eastAsia="仿宋_GB2312" w:cs="仿宋_GB2312"/>
          <w:b/>
          <w:sz w:val="28"/>
        </w:rPr>
        <w:t>索引</w:t>
      </w:r>
    </w:p>
    <w:p w14:paraId="18D56AD0">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一、开标（报价）一览表</w:t>
      </w:r>
    </w:p>
    <w:p w14:paraId="28211C0A">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二、投标（响应）报价明细表</w:t>
      </w:r>
    </w:p>
    <w:p w14:paraId="7A358939">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pPr>
      <w:r>
        <w:rPr>
          <w:rFonts w:hint="eastAsia" w:ascii="宋体" w:hAnsi="宋体" w:eastAsia="宋体" w:cs="宋体"/>
          <w:sz w:val="24"/>
          <w:szCs w:val="24"/>
        </w:rPr>
        <w:t>三、退回保证金说明函</w:t>
      </w:r>
      <w:r>
        <w:rPr>
          <w:rFonts w:ascii="仿宋_GB2312" w:hAnsi="仿宋_GB2312" w:eastAsia="仿宋_GB2312" w:cs="仿宋_GB2312"/>
        </w:rPr>
        <w:br w:type="page"/>
      </w:r>
    </w:p>
    <w:p w14:paraId="2B57A5E9">
      <w:pPr>
        <w:pStyle w:val="33"/>
        <w:jc w:val="center"/>
        <w:outlineLvl w:val="9"/>
      </w:pPr>
      <w:r>
        <w:rPr>
          <w:rFonts w:hint="eastAsia" w:ascii="宋体" w:hAnsi="宋体" w:eastAsia="宋体" w:cs="宋体"/>
          <w:b/>
          <w:sz w:val="32"/>
          <w:szCs w:val="32"/>
          <w:lang w:val="en-US" w:eastAsia="zh-CN"/>
        </w:rPr>
        <w:t>一、</w:t>
      </w:r>
      <w:r>
        <w:rPr>
          <w:rFonts w:hint="eastAsia" w:ascii="宋体" w:hAnsi="宋体" w:eastAsia="宋体" w:cs="宋体"/>
          <w:b/>
          <w:sz w:val="32"/>
          <w:szCs w:val="32"/>
        </w:rPr>
        <w:t>开标（报价）一览表</w:t>
      </w:r>
    </w:p>
    <w:p w14:paraId="4B0FBD0B">
      <w:pPr>
        <w:pStyle w:val="33"/>
        <w:keepNext w:val="0"/>
        <w:keepLines w:val="0"/>
        <w:pageBreakBefore w:val="0"/>
        <w:widowControl/>
        <w:kinsoku/>
        <w:wordWrap/>
        <w:overflowPunct/>
        <w:topLinePunct w:val="0"/>
        <w:autoSpaceDE/>
        <w:autoSpaceDN/>
        <w:bidi w:val="0"/>
        <w:adjustRightInd/>
        <w:snapToGrid/>
        <w:spacing w:line="480" w:lineRule="exact"/>
        <w:ind w:right="165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p>
    <w:p w14:paraId="088326B9">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p>
    <w:p w14:paraId="063E0E97">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w:t>
      </w:r>
    </w:p>
    <w:p w14:paraId="1F03FEB5">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投标人（供应商）名称：</w:t>
      </w:r>
    </w:p>
    <w:p w14:paraId="75EA6C2F">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bl>
      <w:tblPr>
        <w:tblStyle w:val="2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6"/>
        <w:gridCol w:w="2853"/>
        <w:gridCol w:w="1970"/>
        <w:gridCol w:w="1970"/>
        <w:gridCol w:w="1971"/>
      </w:tblGrid>
      <w:tr w14:paraId="4B853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1" w:type="pct"/>
            <w:vAlign w:val="center"/>
          </w:tcPr>
          <w:p w14:paraId="0D959086">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48" w:type="pct"/>
            <w:vAlign w:val="center"/>
          </w:tcPr>
          <w:p w14:paraId="1ECEF2FD">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报价内容</w:t>
            </w:r>
          </w:p>
        </w:tc>
        <w:tc>
          <w:tcPr>
            <w:tcW w:w="1000" w:type="pct"/>
            <w:vAlign w:val="center"/>
          </w:tcPr>
          <w:p w14:paraId="497516E4">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最高限价</w:t>
            </w:r>
          </w:p>
        </w:tc>
        <w:tc>
          <w:tcPr>
            <w:tcW w:w="1000" w:type="pct"/>
            <w:vAlign w:val="center"/>
          </w:tcPr>
          <w:p w14:paraId="4F4394A0">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响应报价</w:t>
            </w:r>
          </w:p>
        </w:tc>
        <w:tc>
          <w:tcPr>
            <w:tcW w:w="1000" w:type="pct"/>
            <w:vAlign w:val="center"/>
          </w:tcPr>
          <w:p w14:paraId="2C476B20">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价款形式</w:t>
            </w:r>
          </w:p>
        </w:tc>
      </w:tr>
      <w:tr w14:paraId="50F27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1" w:type="pct"/>
            <w:vAlign w:val="center"/>
          </w:tcPr>
          <w:p w14:paraId="56935F45">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48" w:type="pct"/>
            <w:vAlign w:val="center"/>
          </w:tcPr>
          <w:p w14:paraId="21560F24">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000" w:type="pct"/>
            <w:vAlign w:val="center"/>
          </w:tcPr>
          <w:p w14:paraId="097D08CC">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1000" w:type="pct"/>
            <w:vAlign w:val="center"/>
          </w:tcPr>
          <w:p w14:paraId="621AC336">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1000" w:type="pct"/>
            <w:vAlign w:val="center"/>
          </w:tcPr>
          <w:p w14:paraId="2FFDD9A1">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tc>
      </w:tr>
    </w:tbl>
    <w:p w14:paraId="647A2D5A">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备注：无</w:t>
      </w:r>
    </w:p>
    <w:p w14:paraId="23C6689E">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     年     月     日</w:t>
      </w:r>
    </w:p>
    <w:p w14:paraId="05187BD2">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签章：                     </w:t>
      </w:r>
    </w:p>
    <w:p w14:paraId="5D5F2DB1">
      <w:pPr>
        <w:pStyle w:val="33"/>
        <w:jc w:val="center"/>
        <w:outlineLvl w:val="9"/>
      </w:pPr>
      <w:r>
        <w:rPr>
          <w:rFonts w:hint="eastAsia" w:ascii="宋体" w:hAnsi="宋体" w:eastAsia="宋体" w:cs="宋体"/>
          <w:b/>
          <w:sz w:val="32"/>
          <w:szCs w:val="32"/>
          <w:lang w:val="en-US" w:eastAsia="zh-CN"/>
        </w:rPr>
        <w:t>二、</w:t>
      </w:r>
      <w:r>
        <w:rPr>
          <w:rFonts w:hint="eastAsia" w:ascii="宋体" w:hAnsi="宋体" w:eastAsia="宋体" w:cs="宋体"/>
          <w:b/>
          <w:sz w:val="32"/>
          <w:szCs w:val="32"/>
        </w:rPr>
        <w:t>投标（响应）报价明细表</w:t>
      </w:r>
    </w:p>
    <w:p w14:paraId="0F1EFFE1">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p>
    <w:p w14:paraId="026AE6C1">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p>
    <w:p w14:paraId="1C393AE0">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w:t>
      </w:r>
    </w:p>
    <w:p w14:paraId="00636D7D">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投标人名称：</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115"/>
        <w:gridCol w:w="1116"/>
        <w:gridCol w:w="676"/>
        <w:gridCol w:w="1336"/>
        <w:gridCol w:w="676"/>
        <w:gridCol w:w="1116"/>
        <w:gridCol w:w="676"/>
        <w:gridCol w:w="676"/>
        <w:gridCol w:w="1116"/>
        <w:gridCol w:w="676"/>
      </w:tblGrid>
      <w:tr w14:paraId="247B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FDC6887">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vAlign w:val="center"/>
          </w:tcPr>
          <w:p w14:paraId="63F20000">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货物名称</w:t>
            </w:r>
          </w:p>
        </w:tc>
        <w:tc>
          <w:tcPr>
            <w:tcW w:w="0" w:type="auto"/>
            <w:vAlign w:val="center"/>
          </w:tcPr>
          <w:p w14:paraId="6BD7B79E">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0" w:type="auto"/>
            <w:vAlign w:val="center"/>
          </w:tcPr>
          <w:p w14:paraId="25A9D66A">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w:t>
            </w:r>
          </w:p>
        </w:tc>
        <w:tc>
          <w:tcPr>
            <w:tcW w:w="0" w:type="auto"/>
            <w:vAlign w:val="center"/>
          </w:tcPr>
          <w:p w14:paraId="3AE482C0">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制造商名称</w:t>
            </w:r>
          </w:p>
        </w:tc>
        <w:tc>
          <w:tcPr>
            <w:tcW w:w="0" w:type="auto"/>
            <w:vAlign w:val="center"/>
          </w:tcPr>
          <w:p w14:paraId="5B74FAD3">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产地</w:t>
            </w:r>
          </w:p>
        </w:tc>
        <w:tc>
          <w:tcPr>
            <w:tcW w:w="0" w:type="auto"/>
            <w:vAlign w:val="center"/>
          </w:tcPr>
          <w:p w14:paraId="4A894D67">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最高限价</w:t>
            </w:r>
          </w:p>
        </w:tc>
        <w:tc>
          <w:tcPr>
            <w:tcW w:w="0" w:type="auto"/>
            <w:vAlign w:val="center"/>
          </w:tcPr>
          <w:p w14:paraId="55B0E2A7">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tc>
        <w:tc>
          <w:tcPr>
            <w:tcW w:w="0" w:type="auto"/>
            <w:vAlign w:val="center"/>
          </w:tcPr>
          <w:p w14:paraId="05B16185">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0" w:type="auto"/>
            <w:vAlign w:val="center"/>
          </w:tcPr>
          <w:p w14:paraId="5090A3FF">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vAlign w:val="center"/>
          </w:tcPr>
          <w:p w14:paraId="13AEE327">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tc>
      </w:tr>
      <w:tr w14:paraId="4F2F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911B5B">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vAlign w:val="center"/>
          </w:tcPr>
          <w:p w14:paraId="6F7A671B">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66C576C7">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324948CB">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35FCC8DF">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5D163ED5">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51B8E4FE">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元</w:t>
            </w:r>
          </w:p>
        </w:tc>
        <w:tc>
          <w:tcPr>
            <w:tcW w:w="0" w:type="auto"/>
            <w:vAlign w:val="center"/>
          </w:tcPr>
          <w:p w14:paraId="26B966F7">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378B0235">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1A2CCABC">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0" w:type="auto"/>
            <w:vAlign w:val="center"/>
          </w:tcPr>
          <w:p w14:paraId="1ADAFA39">
            <w:pPr>
              <w:pStyle w:val="33"/>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r>
    </w:tbl>
    <w:p w14:paraId="2C791F5A">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合计：</w:t>
      </w:r>
    </w:p>
    <w:p w14:paraId="503BC5DD">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备注：无</w:t>
      </w:r>
    </w:p>
    <w:p w14:paraId="39F5C787">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     年     月     日</w:t>
      </w:r>
    </w:p>
    <w:p w14:paraId="292EE084">
      <w:pPr>
        <w:pStyle w:val="3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签章：                     </w:t>
      </w:r>
    </w:p>
    <w:p w14:paraId="67EC317E">
      <w:pPr>
        <w:pStyle w:val="33"/>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503B3">
      <w:pPr>
        <w:jc w:val="center"/>
        <w:rPr>
          <w:rFonts w:hint="eastAsia" w:ascii="宋体" w:hAnsi="宋体" w:eastAsia="宋体" w:cs="宋体"/>
          <w:b/>
          <w:bCs/>
          <w:color w:val="333333"/>
          <w:kern w:val="0"/>
          <w:sz w:val="32"/>
          <w:szCs w:val="32"/>
          <w:shd w:val="clear" w:color="auto" w:fill="FFFFFF"/>
          <w:lang w:bidi="ar"/>
        </w:rPr>
      </w:pPr>
      <w:r>
        <w:rPr>
          <w:rFonts w:hint="eastAsia" w:ascii="宋体" w:hAnsi="宋体" w:eastAsia="宋体" w:cs="宋体"/>
          <w:b/>
          <w:bCs/>
          <w:color w:val="333333"/>
          <w:kern w:val="0"/>
          <w:sz w:val="32"/>
          <w:szCs w:val="32"/>
          <w:shd w:val="clear" w:color="auto" w:fill="FFFFFF"/>
          <w:lang w:val="en-US" w:eastAsia="zh-CN" w:bidi="ar"/>
        </w:rPr>
        <w:t>三</w:t>
      </w:r>
      <w:r>
        <w:rPr>
          <w:rFonts w:hint="eastAsia" w:ascii="宋体" w:hAnsi="宋体" w:eastAsia="宋体" w:cs="宋体"/>
          <w:b/>
          <w:bCs/>
          <w:color w:val="333333"/>
          <w:kern w:val="0"/>
          <w:sz w:val="32"/>
          <w:szCs w:val="32"/>
          <w:shd w:val="clear" w:color="auto" w:fill="FFFFFF"/>
          <w:lang w:bidi="ar"/>
        </w:rPr>
        <w:t>、退回保证金说明函</w:t>
      </w:r>
    </w:p>
    <w:p w14:paraId="0D0B52FE">
      <w:pPr>
        <w:pStyle w:val="8"/>
        <w:jc w:val="center"/>
        <w:rPr>
          <w:rStyle w:val="26"/>
          <w:kern w:val="0"/>
        </w:rPr>
      </w:pPr>
    </w:p>
    <w:p w14:paraId="0E8B89AB">
      <w:pPr>
        <w:pStyle w:val="12"/>
        <w:tabs>
          <w:tab w:val="left" w:pos="900"/>
        </w:tabs>
        <w:spacing w:line="360" w:lineRule="auto"/>
        <w:ind w:left="0" w:leftChars="0"/>
        <w:jc w:val="left"/>
        <w:rPr>
          <w:rFonts w:hint="eastAsia" w:ascii="宋体" w:hAnsi="宋体"/>
          <w:color w:val="000000"/>
          <w:sz w:val="24"/>
          <w:szCs w:val="24"/>
        </w:rPr>
      </w:pPr>
      <w:r>
        <w:rPr>
          <w:rFonts w:ascii="宋体" w:hAnsi="宋体"/>
          <w:color w:val="000000"/>
          <w:sz w:val="24"/>
          <w:szCs w:val="24"/>
        </w:rPr>
        <w:t>致：</w:t>
      </w:r>
      <w:r>
        <w:rPr>
          <w:rFonts w:ascii="宋体" w:hAnsi="宋体"/>
          <w:color w:val="000000"/>
          <w:sz w:val="24"/>
          <w:szCs w:val="24"/>
          <w:u w:val="single"/>
        </w:rPr>
        <w:t xml:space="preserve"> </w:t>
      </w:r>
      <w:r>
        <w:rPr>
          <w:rFonts w:hint="eastAsia" w:ascii="宋体" w:hAnsi="宋体"/>
          <w:bCs/>
          <w:color w:val="000000"/>
          <w:sz w:val="24"/>
          <w:szCs w:val="24"/>
          <w:u w:val="single"/>
        </w:rPr>
        <w:t xml:space="preserve">                          </w:t>
      </w:r>
    </w:p>
    <w:p w14:paraId="53E5827F">
      <w:pPr>
        <w:spacing w:line="360" w:lineRule="auto"/>
        <w:ind w:firstLine="477" w:firstLineChars="199"/>
        <w:rPr>
          <w:rFonts w:hint="eastAsia" w:ascii="宋体" w:hAnsi="宋体"/>
          <w:b/>
          <w:bCs/>
          <w:color w:val="000000"/>
          <w:sz w:val="24"/>
        </w:rPr>
      </w:pPr>
      <w:r>
        <w:rPr>
          <w:rFonts w:hint="eastAsia" w:ascii="宋体" w:hAnsi="宋体"/>
          <w:bCs/>
          <w:color w:val="000000"/>
          <w:sz w:val="24"/>
        </w:rPr>
        <w:t>我方参与项目编号为</w:t>
      </w:r>
      <w:r>
        <w:rPr>
          <w:rFonts w:hint="eastAsia" w:ascii="宋体" w:hAnsi="宋体" w:cs="Arial"/>
          <w:bCs/>
          <w:color w:val="000000"/>
          <w:sz w:val="24"/>
          <w:u w:val="single"/>
        </w:rPr>
        <w:t xml:space="preserve">           的          （项目名称）     投标,</w:t>
      </w:r>
      <w:r>
        <w:rPr>
          <w:rFonts w:hint="eastAsia" w:ascii="宋体" w:hAnsi="宋体" w:cs="Arial"/>
          <w:bCs/>
          <w:color w:val="000000"/>
          <w:sz w:val="24"/>
        </w:rPr>
        <w:t>提供人民币</w:t>
      </w:r>
      <w:r>
        <w:rPr>
          <w:rFonts w:hint="eastAsia" w:ascii="宋体" w:hAnsi="宋体" w:cs="Arial"/>
          <w:bCs/>
          <w:color w:val="000000"/>
          <w:sz w:val="24"/>
          <w:u w:val="single"/>
        </w:rPr>
        <w:t xml:space="preserve">          </w:t>
      </w:r>
      <w:r>
        <w:rPr>
          <w:rFonts w:hint="eastAsia" w:ascii="宋体" w:hAnsi="宋体" w:cs="Arial"/>
          <w:bCs/>
          <w:color w:val="000000"/>
          <w:sz w:val="24"/>
        </w:rPr>
        <w:t>元保证金，当可以退回时，请退回到我公司以下帐户：</w:t>
      </w:r>
    </w:p>
    <w:p w14:paraId="7BC57A34">
      <w:pPr>
        <w:numPr>
          <w:ilvl w:val="1"/>
          <w:numId w:val="1"/>
        </w:numPr>
        <w:spacing w:line="360" w:lineRule="auto"/>
        <w:rPr>
          <w:rFonts w:hint="eastAsia" w:ascii="宋体" w:hAnsi="宋体"/>
          <w:color w:val="000000"/>
          <w:sz w:val="24"/>
        </w:rPr>
      </w:pPr>
      <w:r>
        <w:rPr>
          <w:rFonts w:hint="eastAsia" w:ascii="宋体" w:hAnsi="宋体"/>
          <w:color w:val="000000"/>
          <w:sz w:val="24"/>
        </w:rPr>
        <w:t>开户名：</w:t>
      </w:r>
      <w:r>
        <w:rPr>
          <w:rFonts w:hint="eastAsia" w:ascii="宋体" w:hAnsi="宋体"/>
          <w:color w:val="000000"/>
          <w:sz w:val="24"/>
          <w:u w:val="single"/>
        </w:rPr>
        <w:t xml:space="preserve">                                </w:t>
      </w:r>
    </w:p>
    <w:p w14:paraId="68AA9C36">
      <w:pPr>
        <w:numPr>
          <w:ilvl w:val="1"/>
          <w:numId w:val="1"/>
        </w:numPr>
        <w:spacing w:line="360" w:lineRule="auto"/>
        <w:rPr>
          <w:rFonts w:hint="eastAsia" w:ascii="宋体" w:hAnsi="宋体"/>
          <w:color w:val="000000"/>
          <w:sz w:val="24"/>
        </w:rPr>
      </w:pPr>
      <w:r>
        <w:rPr>
          <w:rFonts w:hint="eastAsia" w:ascii="宋体" w:hAnsi="宋体"/>
          <w:color w:val="000000"/>
          <w:sz w:val="24"/>
        </w:rPr>
        <w:t>开户行：</w:t>
      </w:r>
      <w:r>
        <w:rPr>
          <w:rFonts w:hint="eastAsia" w:ascii="宋体" w:hAnsi="宋体"/>
          <w:color w:val="000000"/>
          <w:sz w:val="24"/>
          <w:u w:val="single"/>
        </w:rPr>
        <w:t xml:space="preserve">                                </w:t>
      </w:r>
    </w:p>
    <w:p w14:paraId="0B929412">
      <w:pPr>
        <w:numPr>
          <w:ilvl w:val="1"/>
          <w:numId w:val="1"/>
        </w:numPr>
        <w:spacing w:line="360" w:lineRule="auto"/>
        <w:rPr>
          <w:rFonts w:hint="eastAsia" w:ascii="宋体" w:hAnsi="宋体"/>
          <w:b/>
          <w:bCs/>
          <w:color w:val="000000"/>
          <w:sz w:val="24"/>
        </w:rPr>
      </w:pPr>
      <w:r>
        <w:rPr>
          <w:rFonts w:hint="eastAsia" w:ascii="宋体" w:hAnsi="宋体"/>
          <w:color w:val="000000"/>
          <w:sz w:val="24"/>
        </w:rPr>
        <w:t>帐  号：</w:t>
      </w:r>
      <w:r>
        <w:rPr>
          <w:rFonts w:hint="eastAsia" w:ascii="宋体" w:hAnsi="宋体"/>
          <w:color w:val="000000"/>
          <w:sz w:val="24"/>
          <w:u w:val="single"/>
        </w:rPr>
        <w:t xml:space="preserve">                                </w:t>
      </w:r>
    </w:p>
    <w:p w14:paraId="01811989">
      <w:pPr>
        <w:spacing w:line="360" w:lineRule="auto"/>
        <w:ind w:firstLine="479" w:firstLineChars="199"/>
        <w:rPr>
          <w:rFonts w:hint="eastAsia" w:ascii="宋体" w:hAnsi="宋体"/>
          <w:b/>
          <w:bCs/>
          <w:color w:val="000000"/>
          <w:sz w:val="24"/>
        </w:rPr>
      </w:pPr>
    </w:p>
    <w:p w14:paraId="0DD68109">
      <w:pPr>
        <w:spacing w:line="360" w:lineRule="auto"/>
        <w:rPr>
          <w:rFonts w:hint="eastAsia"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（全称并加盖公章）</w:t>
      </w:r>
    </w:p>
    <w:p w14:paraId="257C3532">
      <w:pPr>
        <w:spacing w:line="360" w:lineRule="auto"/>
        <w:rPr>
          <w:rFonts w:hint="eastAsia" w:ascii="宋体" w:hAnsi="宋体"/>
          <w:color w:val="000000"/>
          <w:sz w:val="24"/>
        </w:rPr>
      </w:pPr>
      <w:r>
        <w:rPr>
          <w:rFonts w:hint="eastAsia" w:ascii="宋体" w:hAnsi="宋体"/>
          <w:color w:val="000000"/>
          <w:sz w:val="24"/>
        </w:rPr>
        <w:t>投标人代表签名：</w:t>
      </w:r>
      <w:r>
        <w:rPr>
          <w:rFonts w:ascii="宋体" w:hAnsi="宋体"/>
          <w:color w:val="000000"/>
          <w:sz w:val="24"/>
          <w:u w:val="single"/>
        </w:rPr>
        <w:t>___________________</w:t>
      </w:r>
      <w:r>
        <w:rPr>
          <w:rFonts w:hint="eastAsia" w:ascii="宋体" w:hAnsi="宋体"/>
          <w:color w:val="000000"/>
          <w:sz w:val="24"/>
        </w:rPr>
        <w:t xml:space="preserve"> </w:t>
      </w:r>
    </w:p>
    <w:p w14:paraId="7B0EF156">
      <w:pPr>
        <w:spacing w:line="360" w:lineRule="auto"/>
        <w:rPr>
          <w:rFonts w:hint="eastAsia" w:ascii="宋体" w:hAnsi="宋体"/>
          <w:color w:val="000000"/>
          <w:sz w:val="24"/>
        </w:rPr>
      </w:pPr>
      <w:r>
        <w:rPr>
          <w:rFonts w:hint="eastAsia" w:ascii="宋体" w:hAnsi="宋体"/>
          <w:color w:val="000000"/>
          <w:sz w:val="24"/>
        </w:rPr>
        <w:t>投标人代表联系方式：</w:t>
      </w:r>
      <w:r>
        <w:rPr>
          <w:rFonts w:ascii="宋体" w:hAnsi="宋体"/>
          <w:color w:val="000000"/>
          <w:sz w:val="24"/>
          <w:u w:val="single"/>
        </w:rPr>
        <w:t>___________________</w:t>
      </w:r>
    </w:p>
    <w:p w14:paraId="3C104544">
      <w:pPr>
        <w:spacing w:line="340" w:lineRule="atLeast"/>
        <w:rPr>
          <w:rFonts w:hint="eastAsia" w:ascii="宋体" w:hAnsi="宋体"/>
          <w:color w:val="000000"/>
          <w:sz w:val="24"/>
        </w:rPr>
      </w:pPr>
      <w:r>
        <w:rPr>
          <w:rFonts w:hint="eastAsia" w:ascii="宋体" w:hAnsi="宋体"/>
          <w:color w:val="000000"/>
          <w:sz w:val="24"/>
        </w:rPr>
        <w:t>日期：   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 xml:space="preserve">  日</w:t>
      </w:r>
    </w:p>
    <w:p w14:paraId="5FE9FE34">
      <w:pPr>
        <w:spacing w:line="340" w:lineRule="atLeast"/>
        <w:rPr>
          <w:rFonts w:hint="eastAsia" w:ascii="宋体" w:hAnsi="宋体"/>
          <w:b/>
          <w:color w:val="000000"/>
          <w:sz w:val="28"/>
        </w:rPr>
      </w:pPr>
      <w:r>
        <w:rPr>
          <w:rFonts w:hint="eastAsia" w:ascii="宋体" w:hAnsi="宋体"/>
          <w:b/>
          <w:color w:val="000000"/>
          <w:sz w:val="28"/>
        </w:rPr>
        <w:t>附:本次项目投标保证金汇款单</w:t>
      </w:r>
    </w:p>
    <w:p w14:paraId="5BB274F1">
      <w:pPr>
        <w:rPr>
          <w:rFonts w:hint="eastAsia"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0F99B85D">
      <w:pPr>
        <w:pStyle w:val="33"/>
        <w:jc w:val="center"/>
        <w:outlineLvl w:val="1"/>
        <w:rPr>
          <w:rFonts w:hint="eastAsia" w:ascii="宋体" w:hAnsi="宋体" w:eastAsia="宋体" w:cs="宋体"/>
        </w:rPr>
      </w:pPr>
      <w:bookmarkStart w:id="46" w:name="_Toc2741"/>
      <w:r>
        <w:rPr>
          <w:rFonts w:hint="eastAsia" w:ascii="宋体" w:hAnsi="宋体" w:eastAsia="宋体" w:cs="宋体"/>
          <w:b/>
          <w:sz w:val="28"/>
        </w:rPr>
        <w:t>封面格式(技术商务部分)</w:t>
      </w:r>
      <w:bookmarkEnd w:id="46"/>
    </w:p>
    <w:p w14:paraId="339FE950">
      <w:pPr>
        <w:pStyle w:val="33"/>
        <w:jc w:val="center"/>
        <w:outlineLvl w:val="9"/>
        <w:rPr>
          <w:rFonts w:hint="eastAsia" w:ascii="宋体" w:hAnsi="宋体" w:eastAsia="宋体" w:cs="宋体"/>
        </w:rPr>
      </w:pPr>
      <w:r>
        <w:rPr>
          <w:rFonts w:hint="eastAsia" w:ascii="宋体" w:hAnsi="宋体" w:eastAsia="宋体" w:cs="宋体"/>
          <w:b/>
          <w:bCs/>
          <w:sz w:val="52"/>
          <w:szCs w:val="52"/>
          <w:lang w:eastAsia="zh-CN"/>
        </w:rPr>
        <w:t>福建省厦门监狱投标文件</w:t>
      </w:r>
    </w:p>
    <w:p w14:paraId="67896A85">
      <w:pPr>
        <w:pStyle w:val="33"/>
        <w:jc w:val="center"/>
        <w:outlineLvl w:val="9"/>
        <w:rPr>
          <w:rFonts w:hint="eastAsia" w:ascii="宋体" w:hAnsi="宋体" w:eastAsia="宋体" w:cs="宋体"/>
        </w:rPr>
      </w:pPr>
      <w:r>
        <w:rPr>
          <w:rFonts w:hint="eastAsia" w:ascii="宋体" w:hAnsi="宋体" w:eastAsia="宋体" w:cs="宋体"/>
          <w:b/>
          <w:sz w:val="48"/>
        </w:rPr>
        <w:t>（技术商务部分）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0D7E59A">
      <w:pPr>
        <w:pStyle w:val="33"/>
        <w:jc w:val="center"/>
        <w:outlineLvl w:val="9"/>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9AD2FF5">
      <w:pPr>
        <w:pStyle w:val="33"/>
        <w:jc w:val="center"/>
        <w:outlineLvl w:val="9"/>
        <w:rPr>
          <w:rFonts w:hint="eastAsia" w:ascii="宋体" w:hAnsi="宋体" w:eastAsia="宋体" w:cs="宋体"/>
        </w:rPr>
      </w:pPr>
      <w:r>
        <w:rPr>
          <w:rFonts w:hint="eastAsia" w:ascii="宋体" w:hAnsi="宋体" w:eastAsia="宋体" w:cs="宋体"/>
          <w:b/>
          <w:sz w:val="28"/>
        </w:rPr>
        <w:t>（项目名称：（由投标人填写）</w:t>
      </w:r>
    </w:p>
    <w:p w14:paraId="55BC22E5">
      <w:pPr>
        <w:pStyle w:val="33"/>
        <w:jc w:val="center"/>
        <w:outlineLvl w:val="9"/>
        <w:rPr>
          <w:rFonts w:hint="eastAsia" w:ascii="宋体" w:hAnsi="宋体" w:eastAsia="宋体" w:cs="宋体"/>
        </w:rPr>
      </w:pPr>
      <w:r>
        <w:rPr>
          <w:rFonts w:hint="eastAsia" w:ascii="宋体" w:hAnsi="宋体" w:eastAsia="宋体" w:cs="宋体"/>
          <w:b/>
          <w:sz w:val="28"/>
        </w:rPr>
        <w:t>（备案编号：（由投标人填写）</w:t>
      </w:r>
    </w:p>
    <w:p w14:paraId="2764D1C0">
      <w:pPr>
        <w:pStyle w:val="33"/>
        <w:jc w:val="center"/>
        <w:outlineLvl w:val="9"/>
        <w:rPr>
          <w:rFonts w:hint="eastAsia" w:ascii="宋体" w:hAnsi="宋体" w:eastAsia="宋体" w:cs="宋体"/>
        </w:rPr>
      </w:pPr>
      <w:r>
        <w:rPr>
          <w:rFonts w:hint="eastAsia" w:ascii="宋体" w:hAnsi="宋体" w:eastAsia="宋体" w:cs="宋体"/>
          <w:b/>
          <w:sz w:val="28"/>
        </w:rPr>
        <w:t>（项目编号：（由投标人填写）</w:t>
      </w:r>
    </w:p>
    <w:p w14:paraId="58A369F1">
      <w:pPr>
        <w:pStyle w:val="33"/>
        <w:jc w:val="center"/>
        <w:outlineLvl w:val="9"/>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0FB9A0A2">
      <w:pPr>
        <w:pStyle w:val="33"/>
        <w:jc w:val="center"/>
        <w:outlineLvl w:val="9"/>
        <w:rPr>
          <w:rFonts w:hint="eastAsia" w:ascii="宋体" w:hAnsi="宋体" w:eastAsia="宋体" w:cs="宋体"/>
        </w:rPr>
      </w:pPr>
      <w:r>
        <w:rPr>
          <w:rFonts w:hint="eastAsia" w:ascii="宋体" w:hAnsi="宋体" w:eastAsia="宋体" w:cs="宋体"/>
          <w:b/>
          <w:sz w:val="28"/>
        </w:rPr>
        <w:t>投标人：（填写“全称”）</w:t>
      </w:r>
    </w:p>
    <w:p w14:paraId="6FBBFC95">
      <w:pPr>
        <w:pStyle w:val="33"/>
        <w:jc w:val="center"/>
        <w:outlineLvl w:val="9"/>
        <w:rPr>
          <w:rFonts w:hint="eastAsia" w:ascii="宋体" w:hAnsi="宋体" w:eastAsia="宋体" w:cs="宋体"/>
        </w:rPr>
      </w:pPr>
      <w:r>
        <w:rPr>
          <w:rFonts w:hint="eastAsia" w:ascii="宋体" w:hAnsi="宋体" w:eastAsia="宋体" w:cs="宋体"/>
          <w:b/>
          <w:sz w:val="28"/>
        </w:rPr>
        <w:t>（由投标人填写）年（由投标人填写）月</w:t>
      </w:r>
    </w:p>
    <w:p w14:paraId="17D2D09D">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A0DB155">
      <w:pPr>
        <w:pStyle w:val="33"/>
        <w:jc w:val="center"/>
        <w:outlineLvl w:val="9"/>
      </w:pPr>
      <w:r>
        <w:rPr>
          <w:rFonts w:ascii="仿宋_GB2312" w:hAnsi="仿宋_GB2312" w:eastAsia="仿宋_GB2312" w:cs="仿宋_GB2312"/>
          <w:b/>
          <w:sz w:val="28"/>
        </w:rPr>
        <w:t>索引</w:t>
      </w:r>
    </w:p>
    <w:p w14:paraId="29A6417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一、标的说明一览表</w:t>
      </w:r>
    </w:p>
    <w:p w14:paraId="33793ED3">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二、技术和服务要求响应表</w:t>
      </w:r>
    </w:p>
    <w:p w14:paraId="39776AEC">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三、商务条件响应表</w:t>
      </w:r>
    </w:p>
    <w:p w14:paraId="37C852EE">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四、投标人提交的其他资料（若有）</w:t>
      </w:r>
    </w:p>
    <w:p w14:paraId="68FFDED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0AAB7515">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14:paraId="134736E4">
      <w:pPr>
        <w:pStyle w:val="33"/>
        <w:keepNext w:val="0"/>
        <w:keepLines w:val="0"/>
        <w:pageBreakBefore w:val="0"/>
        <w:widowControl/>
        <w:kinsoku/>
        <w:wordWrap/>
        <w:overflowPunct/>
        <w:topLinePunct w:val="0"/>
        <w:autoSpaceDE/>
        <w:autoSpaceDN/>
        <w:bidi w:val="0"/>
        <w:adjustRightInd/>
        <w:snapToGrid/>
        <w:spacing w:line="480" w:lineRule="exact"/>
        <w:textAlignment w:val="auto"/>
      </w:pPr>
      <w:r>
        <w:rPr>
          <w:rFonts w:hint="eastAsia" w:ascii="宋体" w:hAnsi="宋体" w:eastAsia="宋体" w:cs="宋体"/>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8816FD">
      <w:pPr>
        <w:pStyle w:val="33"/>
        <w:jc w:val="center"/>
        <w:outlineLvl w:val="9"/>
      </w:pPr>
      <w:r>
        <w:rPr>
          <w:rFonts w:hint="eastAsia" w:ascii="宋体" w:hAnsi="宋体" w:eastAsia="宋体" w:cs="宋体"/>
          <w:b/>
          <w:sz w:val="32"/>
          <w:szCs w:val="32"/>
        </w:rPr>
        <w:t>一、标的说明一览表</w:t>
      </w:r>
    </w:p>
    <w:p w14:paraId="498EB386">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7"/>
        <w:gridCol w:w="1407"/>
        <w:gridCol w:w="1407"/>
        <w:gridCol w:w="1407"/>
        <w:gridCol w:w="1407"/>
        <w:gridCol w:w="1407"/>
        <w:gridCol w:w="1408"/>
      </w:tblGrid>
      <w:tr w14:paraId="4F385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14:paraId="7FD4AE8F">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14" w:type="pct"/>
            <w:vAlign w:val="center"/>
          </w:tcPr>
          <w:p w14:paraId="09D5A095">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714" w:type="pct"/>
            <w:vAlign w:val="center"/>
          </w:tcPr>
          <w:p w14:paraId="08C4F1F7">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投标标的</w:t>
            </w:r>
          </w:p>
        </w:tc>
        <w:tc>
          <w:tcPr>
            <w:tcW w:w="714" w:type="pct"/>
            <w:vAlign w:val="center"/>
          </w:tcPr>
          <w:p w14:paraId="79E67493">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714" w:type="pct"/>
            <w:vAlign w:val="center"/>
          </w:tcPr>
          <w:p w14:paraId="4DBAEE31">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规格</w:t>
            </w:r>
          </w:p>
        </w:tc>
        <w:tc>
          <w:tcPr>
            <w:tcW w:w="714" w:type="pct"/>
            <w:vAlign w:val="center"/>
          </w:tcPr>
          <w:p w14:paraId="65F0C778">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来源地</w:t>
            </w:r>
          </w:p>
        </w:tc>
        <w:tc>
          <w:tcPr>
            <w:tcW w:w="714" w:type="pct"/>
            <w:vAlign w:val="center"/>
          </w:tcPr>
          <w:p w14:paraId="62C5E465">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01DE2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vAlign w:val="center"/>
          </w:tcPr>
          <w:p w14:paraId="2CCB546D">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4" w:type="pct"/>
            <w:vAlign w:val="center"/>
          </w:tcPr>
          <w:p w14:paraId="157593F6">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4" w:type="pct"/>
            <w:vAlign w:val="center"/>
          </w:tcPr>
          <w:p w14:paraId="69B363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40AFB1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51B0BA4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77C4D59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5E541B3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14:paraId="15844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vAlign w:val="center"/>
          </w:tcPr>
          <w:p w14:paraId="129A9F9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41D4D847">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4" w:type="pct"/>
            <w:vAlign w:val="center"/>
          </w:tcPr>
          <w:p w14:paraId="0CFF707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33803A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0A4FDE4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076C6D6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008C246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14:paraId="538DF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14:paraId="721461BE">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14" w:type="pct"/>
            <w:vAlign w:val="center"/>
          </w:tcPr>
          <w:p w14:paraId="6AC93F3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19FB514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5F1B067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64BE063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4442A2C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14" w:type="pct"/>
            <w:vAlign w:val="center"/>
          </w:tcPr>
          <w:p w14:paraId="28F9EF4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bl>
    <w:p w14:paraId="756D720D">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4E415E2">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498962DE">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14:paraId="7A085165">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EC5A419">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53C87E52">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62EB1C42">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14:paraId="24374540">
      <w:pPr>
        <w:pStyle w:val="33"/>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1004D90">
      <w:pPr>
        <w:pStyle w:val="33"/>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011D68A">
      <w:pPr>
        <w:pStyle w:val="33"/>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9A1DAD">
      <w:pPr>
        <w:pStyle w:val="33"/>
        <w:jc w:val="center"/>
        <w:outlineLvl w:val="9"/>
      </w:pPr>
      <w:r>
        <w:rPr>
          <w:rFonts w:hint="eastAsia" w:ascii="宋体" w:hAnsi="宋体" w:eastAsia="宋体" w:cs="宋体"/>
          <w:b/>
          <w:sz w:val="32"/>
          <w:szCs w:val="32"/>
        </w:rPr>
        <w:t>二、技术和服务要求响应表</w:t>
      </w:r>
    </w:p>
    <w:p w14:paraId="780E05E3">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3"/>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8"/>
        <w:gridCol w:w="1348"/>
        <w:gridCol w:w="2731"/>
        <w:gridCol w:w="1694"/>
        <w:gridCol w:w="2731"/>
      </w:tblGrid>
      <w:tr w14:paraId="117B2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pct"/>
            <w:vAlign w:val="center"/>
          </w:tcPr>
          <w:p w14:paraId="3D6C2A87">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684" w:type="pct"/>
            <w:vAlign w:val="center"/>
          </w:tcPr>
          <w:p w14:paraId="63C9979A">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385" w:type="pct"/>
            <w:vAlign w:val="center"/>
          </w:tcPr>
          <w:p w14:paraId="2536ADE9">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技术和服务要求</w:t>
            </w:r>
          </w:p>
        </w:tc>
        <w:tc>
          <w:tcPr>
            <w:tcW w:w="859" w:type="pct"/>
            <w:vAlign w:val="center"/>
          </w:tcPr>
          <w:p w14:paraId="5C795724">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1385" w:type="pct"/>
            <w:vAlign w:val="center"/>
          </w:tcPr>
          <w:p w14:paraId="3983B226">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48D47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pct"/>
            <w:vMerge w:val="restart"/>
            <w:vAlign w:val="center"/>
          </w:tcPr>
          <w:p w14:paraId="0149DF3D">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84" w:type="pct"/>
            <w:vAlign w:val="center"/>
          </w:tcPr>
          <w:p w14:paraId="13F62692">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85" w:type="pct"/>
            <w:vAlign w:val="center"/>
          </w:tcPr>
          <w:p w14:paraId="024271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859" w:type="pct"/>
            <w:vAlign w:val="center"/>
          </w:tcPr>
          <w:p w14:paraId="3684D1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85" w:type="pct"/>
            <w:vAlign w:val="center"/>
          </w:tcPr>
          <w:p w14:paraId="1A989BE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14:paraId="5ECC2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pct"/>
            <w:vMerge w:val="continue"/>
            <w:vAlign w:val="center"/>
          </w:tcPr>
          <w:p w14:paraId="10D7AED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684" w:type="pct"/>
            <w:vAlign w:val="center"/>
          </w:tcPr>
          <w:p w14:paraId="6009B2C8">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385" w:type="pct"/>
            <w:vAlign w:val="center"/>
          </w:tcPr>
          <w:p w14:paraId="305BD41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859" w:type="pct"/>
            <w:vAlign w:val="center"/>
          </w:tcPr>
          <w:p w14:paraId="03722E7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85" w:type="pct"/>
            <w:vAlign w:val="center"/>
          </w:tcPr>
          <w:p w14:paraId="594C688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14:paraId="0E55E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pct"/>
            <w:vAlign w:val="center"/>
          </w:tcPr>
          <w:p w14:paraId="37155589">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684" w:type="pct"/>
            <w:vAlign w:val="center"/>
          </w:tcPr>
          <w:p w14:paraId="38D8DBB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85" w:type="pct"/>
            <w:vAlign w:val="center"/>
          </w:tcPr>
          <w:p w14:paraId="7D471B7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859" w:type="pct"/>
            <w:vAlign w:val="center"/>
          </w:tcPr>
          <w:p w14:paraId="3FE45DB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85" w:type="pct"/>
            <w:vAlign w:val="center"/>
          </w:tcPr>
          <w:p w14:paraId="782B02B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bl>
    <w:p w14:paraId="33F617FC">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4B47AD2">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19ABE045">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14:paraId="519E734D">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5BC87E1">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14:paraId="59E9D8B8">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3610CD2D">
      <w:pPr>
        <w:pStyle w:val="33"/>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4D450ECA">
      <w:pPr>
        <w:pStyle w:val="33"/>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9E0CFBC">
      <w:pPr>
        <w:pStyle w:val="33"/>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CBE4E4">
      <w:pPr>
        <w:pStyle w:val="33"/>
        <w:jc w:val="center"/>
        <w:outlineLvl w:val="9"/>
      </w:pPr>
      <w:r>
        <w:rPr>
          <w:rFonts w:hint="eastAsia" w:ascii="宋体" w:hAnsi="宋体" w:eastAsia="宋体" w:cs="宋体"/>
          <w:b/>
          <w:sz w:val="32"/>
          <w:szCs w:val="32"/>
        </w:rPr>
        <w:t>三、商务条件响应表</w:t>
      </w:r>
    </w:p>
    <w:p w14:paraId="2A096477">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6"/>
        <w:gridCol w:w="1506"/>
        <w:gridCol w:w="1892"/>
        <w:gridCol w:w="1892"/>
        <w:gridCol w:w="3054"/>
      </w:tblGrid>
      <w:tr w14:paraId="75DB7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pct"/>
            <w:vAlign w:val="center"/>
          </w:tcPr>
          <w:p w14:paraId="4754ED3B">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64" w:type="pct"/>
            <w:vAlign w:val="center"/>
          </w:tcPr>
          <w:p w14:paraId="10B8A2F8">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960" w:type="pct"/>
            <w:vAlign w:val="center"/>
          </w:tcPr>
          <w:p w14:paraId="398A4AC8">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商务条件</w:t>
            </w:r>
          </w:p>
        </w:tc>
        <w:tc>
          <w:tcPr>
            <w:tcW w:w="960" w:type="pct"/>
            <w:vAlign w:val="center"/>
          </w:tcPr>
          <w:p w14:paraId="10636FC2">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1549" w:type="pct"/>
            <w:vAlign w:val="center"/>
          </w:tcPr>
          <w:p w14:paraId="4B7F8C19">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1D6B8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pct"/>
            <w:vMerge w:val="restart"/>
            <w:vAlign w:val="center"/>
          </w:tcPr>
          <w:p w14:paraId="3F80661C">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4" w:type="pct"/>
            <w:vAlign w:val="center"/>
          </w:tcPr>
          <w:p w14:paraId="45B9AB25">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60" w:type="pct"/>
            <w:vAlign w:val="center"/>
          </w:tcPr>
          <w:p w14:paraId="2639A99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pct"/>
            <w:vAlign w:val="center"/>
          </w:tcPr>
          <w:p w14:paraId="1B6DC66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549" w:type="pct"/>
            <w:vAlign w:val="center"/>
          </w:tcPr>
          <w:p w14:paraId="7160A16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14:paraId="53E87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pct"/>
            <w:vMerge w:val="continue"/>
            <w:vAlign w:val="center"/>
          </w:tcPr>
          <w:p w14:paraId="2AE90FE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764" w:type="pct"/>
            <w:vAlign w:val="center"/>
          </w:tcPr>
          <w:p w14:paraId="48E1C71D">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60" w:type="pct"/>
            <w:vAlign w:val="center"/>
          </w:tcPr>
          <w:p w14:paraId="1AE9D49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pct"/>
            <w:vAlign w:val="center"/>
          </w:tcPr>
          <w:p w14:paraId="621340C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549" w:type="pct"/>
            <w:vAlign w:val="center"/>
          </w:tcPr>
          <w:p w14:paraId="539A58A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14:paraId="1E2FA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pct"/>
            <w:vAlign w:val="center"/>
          </w:tcPr>
          <w:p w14:paraId="135CBBFB">
            <w:pPr>
              <w:pStyle w:val="33"/>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4" w:type="pct"/>
            <w:vAlign w:val="center"/>
          </w:tcPr>
          <w:p w14:paraId="30787CA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pct"/>
            <w:vAlign w:val="center"/>
          </w:tcPr>
          <w:p w14:paraId="664FA4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pct"/>
            <w:vAlign w:val="center"/>
          </w:tcPr>
          <w:p w14:paraId="3DCC3B5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549" w:type="pct"/>
            <w:vAlign w:val="center"/>
          </w:tcPr>
          <w:p w14:paraId="1816585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bl>
    <w:p w14:paraId="0A252A6A">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4482D072">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7D818009">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14:paraId="2880382B">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5FD57A5B">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14:paraId="15D1B423">
      <w:pPr>
        <w:pStyle w:val="33"/>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3A5A33A9">
      <w:pPr>
        <w:pStyle w:val="33"/>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88846BB">
      <w:pPr>
        <w:pStyle w:val="33"/>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E44FE46">
      <w:pPr>
        <w:pStyle w:val="33"/>
        <w:keepNext w:val="0"/>
        <w:keepLines w:val="0"/>
        <w:pageBreakBefore w:val="0"/>
        <w:kinsoku/>
        <w:wordWrap/>
        <w:overflowPunct/>
        <w:topLinePunct w:val="0"/>
        <w:autoSpaceDE/>
        <w:autoSpaceDN/>
        <w:bidi w:val="0"/>
        <w:adjustRightInd/>
        <w:snapToGrid/>
        <w:spacing w:line="480" w:lineRule="exact"/>
        <w:textAlignment w:val="auto"/>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ascii="仿宋_GB2312" w:hAnsi="仿宋_GB2312" w:eastAsia="仿宋_GB2312" w:cs="仿宋_GB2312"/>
        </w:rPr>
        <w:br w:type="page"/>
      </w:r>
    </w:p>
    <w:p w14:paraId="5BFDC9DA">
      <w:pPr>
        <w:pStyle w:val="33"/>
        <w:jc w:val="center"/>
        <w:outlineLvl w:val="9"/>
      </w:pPr>
      <w:r>
        <w:rPr>
          <w:rFonts w:hint="eastAsia" w:ascii="宋体" w:hAnsi="宋体" w:eastAsia="宋体" w:cs="宋体"/>
          <w:b/>
          <w:sz w:val="32"/>
          <w:szCs w:val="32"/>
        </w:rPr>
        <w:t>四、投标人提交的其他资料（若有）</w:t>
      </w:r>
    </w:p>
    <w:p w14:paraId="1E9060AE">
      <w:pPr>
        <w:pStyle w:val="33"/>
        <w:keepNext w:val="0"/>
        <w:keepLines w:val="0"/>
        <w:pageBreakBefore w:val="0"/>
        <w:widowControl/>
        <w:kinsoku/>
        <w:wordWrap/>
        <w:overflowPunct/>
        <w:topLinePunct w:val="0"/>
        <w:autoSpaceDE/>
        <w:autoSpaceDN/>
        <w:bidi w:val="0"/>
        <w:adjustRightInd/>
        <w:snapToGrid/>
        <w:spacing w:line="480" w:lineRule="exact"/>
        <w:ind w:firstLine="482"/>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24CD7F86">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14:paraId="6303A29D">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14:paraId="6F25BDE6">
      <w:pPr>
        <w:pStyle w:val="33"/>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14:paraId="4C32D778"/>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LTHJW--GB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175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D4C6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FD4C6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875"/>
        </w:tabs>
        <w:ind w:left="875" w:hanging="397"/>
      </w:pPr>
      <w:rPr>
        <w:rFonts w:hint="eastAsia" w:eastAsia="宋体" w:cs="Times New Roman"/>
        <w:b w:val="0"/>
        <w:bCs w:val="0"/>
        <w:i w:val="0"/>
        <w:iCs w:val="0"/>
        <w:sz w:val="24"/>
        <w:szCs w:val="24"/>
      </w:rPr>
    </w:lvl>
    <w:lvl w:ilvl="1" w:tentative="0">
      <w:start w:val="1"/>
      <w:numFmt w:val="decimal"/>
      <w:lvlText w:val="%2."/>
      <w:lvlJc w:val="left"/>
      <w:pPr>
        <w:tabs>
          <w:tab w:val="left" w:pos="817"/>
        </w:tabs>
        <w:ind w:left="817" w:hanging="397"/>
      </w:pPr>
      <w:rPr>
        <w:rFonts w:hint="eastAsia" w:eastAsia="宋体" w:cs="Times New Roman"/>
        <w:b w:val="0"/>
        <w:bCs w:val="0"/>
        <w:i w:val="0"/>
        <w:iCs w:val="0"/>
        <w:sz w:val="24"/>
        <w:szCs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mQyMWFkMDdiNmZkMmRmMjdmZTE3MjM3YWJmMWMifQ=="/>
    <w:docVar w:name="KSO_WPS_MARK_KEY" w:val="400b3f5d-a420-431b-831a-735b1a5e636f"/>
  </w:docVars>
  <w:rsids>
    <w:rsidRoot w:val="00DF1AE6"/>
    <w:rsid w:val="000A5817"/>
    <w:rsid w:val="001E61C4"/>
    <w:rsid w:val="00381F18"/>
    <w:rsid w:val="003916F5"/>
    <w:rsid w:val="00671CD0"/>
    <w:rsid w:val="006A31FF"/>
    <w:rsid w:val="00734A75"/>
    <w:rsid w:val="007F2E79"/>
    <w:rsid w:val="00A043F0"/>
    <w:rsid w:val="00AE3311"/>
    <w:rsid w:val="00C75FDB"/>
    <w:rsid w:val="00DF1AE6"/>
    <w:rsid w:val="00ED79B9"/>
    <w:rsid w:val="01573758"/>
    <w:rsid w:val="01C8559F"/>
    <w:rsid w:val="02B85BF4"/>
    <w:rsid w:val="032079AF"/>
    <w:rsid w:val="043D1D54"/>
    <w:rsid w:val="055F67B9"/>
    <w:rsid w:val="0700512B"/>
    <w:rsid w:val="070361EF"/>
    <w:rsid w:val="07E72FAD"/>
    <w:rsid w:val="093543D9"/>
    <w:rsid w:val="09740BB2"/>
    <w:rsid w:val="09B86D41"/>
    <w:rsid w:val="0AD764FF"/>
    <w:rsid w:val="0AE33FDB"/>
    <w:rsid w:val="0AF94B2F"/>
    <w:rsid w:val="0C3A12BC"/>
    <w:rsid w:val="0EDE048D"/>
    <w:rsid w:val="0F8D2EB8"/>
    <w:rsid w:val="0FC73151"/>
    <w:rsid w:val="1057577E"/>
    <w:rsid w:val="10BC319C"/>
    <w:rsid w:val="11420E9D"/>
    <w:rsid w:val="11CE7962"/>
    <w:rsid w:val="136D02DC"/>
    <w:rsid w:val="1458496F"/>
    <w:rsid w:val="147444E4"/>
    <w:rsid w:val="17874291"/>
    <w:rsid w:val="18414861"/>
    <w:rsid w:val="187C3B11"/>
    <w:rsid w:val="194A1AC3"/>
    <w:rsid w:val="197F54C7"/>
    <w:rsid w:val="1B152A56"/>
    <w:rsid w:val="1B3636FB"/>
    <w:rsid w:val="1C70767C"/>
    <w:rsid w:val="1DA202B3"/>
    <w:rsid w:val="1DE32918"/>
    <w:rsid w:val="20024D31"/>
    <w:rsid w:val="209D3E0A"/>
    <w:rsid w:val="21CE6630"/>
    <w:rsid w:val="22173468"/>
    <w:rsid w:val="23BF2DEC"/>
    <w:rsid w:val="24737275"/>
    <w:rsid w:val="25971C1F"/>
    <w:rsid w:val="25DA57DD"/>
    <w:rsid w:val="26A12E7A"/>
    <w:rsid w:val="27880E13"/>
    <w:rsid w:val="294E1720"/>
    <w:rsid w:val="29A547A1"/>
    <w:rsid w:val="2A996180"/>
    <w:rsid w:val="2B385CD5"/>
    <w:rsid w:val="2D28054A"/>
    <w:rsid w:val="2E145FEA"/>
    <w:rsid w:val="2FC40205"/>
    <w:rsid w:val="318146E1"/>
    <w:rsid w:val="318A4627"/>
    <w:rsid w:val="318C6E51"/>
    <w:rsid w:val="3203475A"/>
    <w:rsid w:val="32946904"/>
    <w:rsid w:val="32F7603A"/>
    <w:rsid w:val="34E17458"/>
    <w:rsid w:val="35DC163D"/>
    <w:rsid w:val="363E4781"/>
    <w:rsid w:val="365C2EF5"/>
    <w:rsid w:val="37317C9C"/>
    <w:rsid w:val="37BC3A4E"/>
    <w:rsid w:val="38B05BFB"/>
    <w:rsid w:val="38BC7604"/>
    <w:rsid w:val="3A3165C4"/>
    <w:rsid w:val="3A6A7BE0"/>
    <w:rsid w:val="3ABB0D07"/>
    <w:rsid w:val="3AE371BF"/>
    <w:rsid w:val="3B8868FA"/>
    <w:rsid w:val="3CDC1367"/>
    <w:rsid w:val="3D514662"/>
    <w:rsid w:val="3EEC0D65"/>
    <w:rsid w:val="3EFB6376"/>
    <w:rsid w:val="3F236D18"/>
    <w:rsid w:val="3F3E251D"/>
    <w:rsid w:val="40D24888"/>
    <w:rsid w:val="41ED28D7"/>
    <w:rsid w:val="4266715A"/>
    <w:rsid w:val="433A4950"/>
    <w:rsid w:val="44340B52"/>
    <w:rsid w:val="449326B5"/>
    <w:rsid w:val="45286E70"/>
    <w:rsid w:val="45827F2C"/>
    <w:rsid w:val="46405B25"/>
    <w:rsid w:val="465D12B5"/>
    <w:rsid w:val="46614789"/>
    <w:rsid w:val="475950FE"/>
    <w:rsid w:val="475B4C66"/>
    <w:rsid w:val="47986FCE"/>
    <w:rsid w:val="47CB7480"/>
    <w:rsid w:val="48414814"/>
    <w:rsid w:val="487D1C0B"/>
    <w:rsid w:val="499A5A85"/>
    <w:rsid w:val="49C52231"/>
    <w:rsid w:val="4A182D99"/>
    <w:rsid w:val="4A5E300A"/>
    <w:rsid w:val="4B9B0B3A"/>
    <w:rsid w:val="4C1E250C"/>
    <w:rsid w:val="4CF64CB5"/>
    <w:rsid w:val="4D5741B0"/>
    <w:rsid w:val="4D5877DA"/>
    <w:rsid w:val="4E266E13"/>
    <w:rsid w:val="4E4862A3"/>
    <w:rsid w:val="50BE7769"/>
    <w:rsid w:val="51230C6E"/>
    <w:rsid w:val="51397449"/>
    <w:rsid w:val="5168621A"/>
    <w:rsid w:val="51DF24A1"/>
    <w:rsid w:val="521A2B12"/>
    <w:rsid w:val="58AE6188"/>
    <w:rsid w:val="59C46F34"/>
    <w:rsid w:val="5A063051"/>
    <w:rsid w:val="5AE4102C"/>
    <w:rsid w:val="5B3B5B9F"/>
    <w:rsid w:val="5B6472CA"/>
    <w:rsid w:val="5C926F2C"/>
    <w:rsid w:val="5CD722F7"/>
    <w:rsid w:val="5CFC40ED"/>
    <w:rsid w:val="5D71646B"/>
    <w:rsid w:val="5E7C195D"/>
    <w:rsid w:val="61A05C23"/>
    <w:rsid w:val="61D75EFC"/>
    <w:rsid w:val="63075797"/>
    <w:rsid w:val="63B34FF9"/>
    <w:rsid w:val="64A35635"/>
    <w:rsid w:val="666F5AD8"/>
    <w:rsid w:val="67357445"/>
    <w:rsid w:val="68136BFD"/>
    <w:rsid w:val="68891587"/>
    <w:rsid w:val="688F16F7"/>
    <w:rsid w:val="6A024B4E"/>
    <w:rsid w:val="6B2E027C"/>
    <w:rsid w:val="6B727230"/>
    <w:rsid w:val="6BA26210"/>
    <w:rsid w:val="6D7447DA"/>
    <w:rsid w:val="6E1B015A"/>
    <w:rsid w:val="700D6893"/>
    <w:rsid w:val="70E65D11"/>
    <w:rsid w:val="7147173F"/>
    <w:rsid w:val="71A83458"/>
    <w:rsid w:val="71BA1FC9"/>
    <w:rsid w:val="725E6906"/>
    <w:rsid w:val="74175AB0"/>
    <w:rsid w:val="74985820"/>
    <w:rsid w:val="74D40A8C"/>
    <w:rsid w:val="74DD78B9"/>
    <w:rsid w:val="75FE6CCD"/>
    <w:rsid w:val="76B427A0"/>
    <w:rsid w:val="778C12A1"/>
    <w:rsid w:val="77A33FA4"/>
    <w:rsid w:val="781C021C"/>
    <w:rsid w:val="783A76B4"/>
    <w:rsid w:val="78705672"/>
    <w:rsid w:val="7890096A"/>
    <w:rsid w:val="79067E7B"/>
    <w:rsid w:val="79980F4F"/>
    <w:rsid w:val="7B455521"/>
    <w:rsid w:val="7C097B3F"/>
    <w:rsid w:val="7C135232"/>
    <w:rsid w:val="7C18217D"/>
    <w:rsid w:val="7C936106"/>
    <w:rsid w:val="7DB1587A"/>
    <w:rsid w:val="7DB8311F"/>
    <w:rsid w:val="7DC95BF7"/>
    <w:rsid w:val="7F230841"/>
    <w:rsid w:val="7F84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7">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Arial" w:hAnsi="Arial"/>
      <w:b/>
      <w:bCs/>
      <w:sz w:val="32"/>
      <w:szCs w:val="32"/>
    </w:rPr>
  </w:style>
  <w:style w:type="paragraph" w:styleId="8">
    <w:name w:val="Normal Indent"/>
    <w:basedOn w:val="1"/>
    <w:qFormat/>
    <w:uiPriority w:val="99"/>
    <w:pPr>
      <w:widowControl/>
      <w:ind w:firstLine="420"/>
      <w:jc w:val="left"/>
    </w:pPr>
    <w:rPr>
      <w:rFonts w:ascii="Times New Roman" w:hAnsi="Times New Roman"/>
      <w:szCs w:val="21"/>
    </w:rPr>
  </w:style>
  <w:style w:type="paragraph" w:styleId="9">
    <w:name w:val="annotation text"/>
    <w:basedOn w:val="1"/>
    <w:qFormat/>
    <w:uiPriority w:val="0"/>
    <w:pPr>
      <w:jc w:val="left"/>
    </w:pPr>
  </w:style>
  <w:style w:type="paragraph" w:styleId="10">
    <w:name w:val="Body Text"/>
    <w:basedOn w:val="1"/>
    <w:next w:val="1"/>
    <w:qFormat/>
    <w:uiPriority w:val="0"/>
    <w:pPr>
      <w:overflowPunct w:val="0"/>
      <w:autoSpaceDE w:val="0"/>
      <w:autoSpaceDN w:val="0"/>
      <w:adjustRightInd w:val="0"/>
      <w:spacing w:line="360" w:lineRule="auto"/>
      <w:jc w:val="center"/>
    </w:pPr>
    <w:rPr>
      <w:rFonts w:ascii="宋体" w:hAnsi="仿宋"/>
      <w:b/>
      <w:kern w:val="0"/>
      <w:sz w:val="44"/>
    </w:rPr>
  </w:style>
  <w:style w:type="paragraph" w:styleId="11">
    <w:name w:val="Body Text Indent"/>
    <w:basedOn w:val="1"/>
    <w:qFormat/>
    <w:uiPriority w:val="0"/>
    <w:pPr>
      <w:widowControl w:val="0"/>
      <w:spacing w:before="0" w:after="120"/>
      <w:ind w:left="420" w:leftChars="200" w:right="0"/>
      <w:jc w:val="both"/>
    </w:pPr>
    <w:rPr>
      <w:rFonts w:ascii="Calibri" w:hAnsi="Calibri" w:eastAsia="宋体" w:cs="Calibri"/>
      <w:kern w:val="2"/>
      <w:sz w:val="21"/>
      <w:szCs w:val="24"/>
      <w:lang w:val="en-US" w:eastAsia="zh-CN" w:bidi="ar-SA"/>
    </w:rPr>
  </w:style>
  <w:style w:type="paragraph" w:styleId="12">
    <w:name w:val="Date"/>
    <w:basedOn w:val="1"/>
    <w:next w:val="1"/>
    <w:qFormat/>
    <w:uiPriority w:val="99"/>
    <w:pPr>
      <w:ind w:left="100" w:leftChars="2500"/>
    </w:pPr>
    <w:rPr>
      <w:rFonts w:ascii="Times New Roman" w:hAnsi="Times New Roman"/>
      <w:szCs w:val="21"/>
    </w:rPr>
  </w:style>
  <w:style w:type="paragraph" w:styleId="13">
    <w:name w:val="Body Text Indent 2"/>
    <w:basedOn w:val="1"/>
    <w:qFormat/>
    <w:uiPriority w:val="0"/>
    <w:pPr>
      <w:spacing w:after="120" w:line="480" w:lineRule="auto"/>
      <w:ind w:left="420"/>
    </w:pPr>
    <w:rPr>
      <w:rFonts w:ascii="Times New Roman" w:hAnsi="Times New Roman"/>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next w:val="19"/>
    <w:qFormat/>
    <w:uiPriority w:val="0"/>
    <w:pPr>
      <w:spacing w:beforeAutospacing="1" w:afterAutospacing="1"/>
      <w:jc w:val="left"/>
    </w:pPr>
    <w:rPr>
      <w:rFonts w:cs="Times New Roman"/>
      <w:kern w:val="0"/>
      <w:sz w:val="24"/>
    </w:rPr>
  </w:style>
  <w:style w:type="paragraph" w:customStyle="1" w:styleId="19">
    <w:name w:val="样式 标题 3 + (中文) 黑体 小四 非加粗 段前: 7.8 磅 段后: 0 磅 行距: 固定值 20 磅"/>
    <w:basedOn w:val="20"/>
    <w:autoRedefine/>
    <w:qFormat/>
    <w:uiPriority w:val="0"/>
    <w:pPr>
      <w:tabs>
        <w:tab w:val="left" w:pos="900"/>
      </w:tabs>
      <w:spacing w:line="400" w:lineRule="exact"/>
    </w:pPr>
    <w:rPr>
      <w:rFonts w:eastAsia="黑体" w:cs="宋体"/>
      <w:b w:val="0"/>
      <w:kern w:val="2"/>
      <w:szCs w:val="20"/>
    </w:rPr>
  </w:style>
  <w:style w:type="paragraph" w:customStyle="1" w:styleId="20">
    <w:name w:val="标题 31"/>
    <w:basedOn w:val="1"/>
    <w:qFormat/>
    <w:uiPriority w:val="0"/>
    <w:pPr>
      <w:spacing w:before="100" w:beforeAutospacing="1" w:after="100" w:afterAutospacing="1"/>
      <w:jc w:val="left"/>
      <w:outlineLvl w:val="2"/>
    </w:pPr>
    <w:rPr>
      <w:rFonts w:ascii="宋体" w:hAnsi="宋体"/>
      <w:b/>
      <w:kern w:val="0"/>
      <w:sz w:val="27"/>
      <w:szCs w:val="27"/>
    </w:rPr>
  </w:style>
  <w:style w:type="paragraph" w:styleId="21">
    <w:name w:val="Body Text First Indent"/>
    <w:basedOn w:val="10"/>
    <w:qFormat/>
    <w:uiPriority w:val="99"/>
    <w:pPr>
      <w:adjustRightInd/>
      <w:spacing w:after="120" w:line="240" w:lineRule="auto"/>
      <w:ind w:firstLine="420" w:firstLineChars="100"/>
    </w:pPr>
    <w:rPr>
      <w:rFonts w:ascii="Times New Roman" w:hAnsi="Times New Roman" w:eastAsia="宋体" w:cs="Times New Roman"/>
      <w:sz w:val="21"/>
      <w:szCs w:val="21"/>
    </w:rPr>
  </w:style>
  <w:style w:type="paragraph" w:styleId="22">
    <w:name w:val="Body Text First Indent 2"/>
    <w:basedOn w:val="11"/>
    <w:qFormat/>
    <w:uiPriority w:val="0"/>
    <w:pPr>
      <w:widowControl w:val="0"/>
      <w:tabs>
        <w:tab w:val="left" w:pos="4600"/>
      </w:tabs>
      <w:spacing w:before="0" w:after="120"/>
      <w:ind w:left="420" w:leftChars="200" w:right="0" w:firstLine="420"/>
      <w:jc w:val="both"/>
    </w:pPr>
    <w:rPr>
      <w:rFonts w:ascii="Calibri" w:hAnsi="Calibri" w:eastAsia="宋体" w:cs="Calibri"/>
      <w:kern w:val="2"/>
      <w:sz w:val="21"/>
      <w:szCs w:val="24"/>
      <w:lang w:val="en-US" w:eastAsia="zh-CN" w:bidi="ar-SA"/>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qFormat/>
    <w:uiPriority w:val="0"/>
    <w:rPr>
      <w:color w:val="000000"/>
      <w:u w:val="none"/>
    </w:rPr>
  </w:style>
  <w:style w:type="character" w:styleId="28">
    <w:name w:val="Emphasis"/>
    <w:basedOn w:val="25"/>
    <w:qFormat/>
    <w:uiPriority w:val="0"/>
    <w:rPr>
      <w:i/>
    </w:rPr>
  </w:style>
  <w:style w:type="character" w:styleId="29">
    <w:name w:val="Hyperlink"/>
    <w:basedOn w:val="25"/>
    <w:qFormat/>
    <w:uiPriority w:val="0"/>
    <w:rPr>
      <w:color w:val="000000"/>
      <w:u w:val="none"/>
    </w:rPr>
  </w:style>
  <w:style w:type="character" w:styleId="30">
    <w:name w:val="annotation reference"/>
    <w:basedOn w:val="25"/>
    <w:qFormat/>
    <w:uiPriority w:val="0"/>
    <w:rPr>
      <w:sz w:val="21"/>
      <w:szCs w:val="21"/>
    </w:rPr>
  </w:style>
  <w:style w:type="paragraph" w:customStyle="1" w:styleId="31">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null3"/>
    <w:hidden/>
    <w:qFormat/>
    <w:uiPriority w:val="0"/>
    <w:rPr>
      <w:rFonts w:hint="eastAsia" w:asciiTheme="minorHAnsi" w:hAnsiTheme="minorHAnsi" w:eastAsiaTheme="minorEastAsia" w:cstheme="minorBidi"/>
      <w:lang w:val="en-US" w:eastAsia="zh-Hans" w:bidi="ar-SA"/>
    </w:rPr>
  </w:style>
  <w:style w:type="paragraph" w:customStyle="1" w:styleId="34">
    <w:name w:val="Default"/>
    <w:qFormat/>
    <w:uiPriority w:val="0"/>
    <w:pPr>
      <w:widowControl w:val="0"/>
      <w:autoSpaceDE w:val="0"/>
      <w:autoSpaceDN w:val="0"/>
      <w:adjustRightInd w:val="0"/>
    </w:pPr>
    <w:rPr>
      <w:rFonts w:ascii="宋体" w:hAnsi="Calibri" w:eastAsia="微软雅黑" w:cs="Times New Roman"/>
      <w:color w:val="000000"/>
      <w:sz w:val="24"/>
      <w:lang w:val="en-US" w:eastAsia="zh-CN" w:bidi="ar-SA"/>
    </w:rPr>
  </w:style>
  <w:style w:type="paragraph" w:styleId="35">
    <w:name w:val="List Paragraph"/>
    <w:basedOn w:val="1"/>
    <w:qFormat/>
    <w:uiPriority w:val="1"/>
    <w:pPr>
      <w:spacing w:before="43"/>
      <w:ind w:left="540" w:hanging="420"/>
    </w:pPr>
    <w:rPr>
      <w:rFonts w:ascii="宋体" w:hAnsi="宋体" w:eastAsia="宋体" w:cs="宋体"/>
      <w:lang w:val="zh-CN" w:bidi="zh-CN"/>
    </w:rPr>
  </w:style>
  <w:style w:type="character" w:customStyle="1" w:styleId="36">
    <w:name w:val="fontstyle01"/>
    <w:basedOn w:val="25"/>
    <w:qFormat/>
    <w:uiPriority w:val="0"/>
    <w:rPr>
      <w:rFonts w:hint="default" w:ascii="FZLTHJW--GB1-0" w:hAnsi="FZLTHJW--GB1-0"/>
      <w:color w:val="242021"/>
      <w:sz w:val="20"/>
      <w:szCs w:val="20"/>
    </w:rPr>
  </w:style>
  <w:style w:type="paragraph" w:customStyle="1" w:styleId="37">
    <w:name w:val="二级条标题"/>
    <w:basedOn w:val="1"/>
    <w:next w:val="38"/>
    <w:qFormat/>
    <w:uiPriority w:val="0"/>
    <w:pPr>
      <w:widowControl/>
      <w:outlineLvl w:val="3"/>
    </w:pPr>
    <w:rPr>
      <w:rFonts w:ascii="黑体" w:eastAsia="黑体"/>
      <w:kern w:val="0"/>
      <w:szCs w:val="20"/>
    </w:rPr>
  </w:style>
  <w:style w:type="paragraph" w:customStyle="1" w:styleId="38">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9">
    <w:name w:val="edittexttarea"/>
    <w:qFormat/>
    <w:uiPriority w:val="0"/>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2">
    <w:name w:val="font21"/>
    <w:basedOn w:val="25"/>
    <w:qFormat/>
    <w:uiPriority w:val="0"/>
    <w:rPr>
      <w:rFonts w:ascii="宋体" w:hAnsi="宋体" w:eastAsia="宋体" w:cs="宋体"/>
      <w:color w:val="000000"/>
      <w:sz w:val="14"/>
      <w:szCs w:val="14"/>
      <w:u w:val="none"/>
    </w:rPr>
  </w:style>
  <w:style w:type="paragraph" w:customStyle="1" w:styleId="4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5">
    <w:name w:val="font131"/>
    <w:basedOn w:val="25"/>
    <w:qFormat/>
    <w:uiPriority w:val="0"/>
    <w:rPr>
      <w:rFonts w:hint="eastAsia" w:ascii="宋体" w:hAnsi="宋体" w:eastAsia="宋体" w:cs="宋体"/>
      <w:b/>
      <w:bCs/>
      <w:color w:val="000000"/>
      <w:sz w:val="28"/>
      <w:szCs w:val="28"/>
      <w:u w:val="none"/>
    </w:rPr>
  </w:style>
  <w:style w:type="paragraph" w:customStyle="1" w:styleId="46">
    <w:name w:val="表格文字"/>
    <w:basedOn w:val="1"/>
    <w:qFormat/>
    <w:uiPriority w:val="0"/>
    <w:pPr>
      <w:spacing w:before="25" w:after="25" w:line="240" w:lineRule="auto"/>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1830</Words>
  <Characters>2005</Characters>
  <Lines>1514</Lines>
  <Paragraphs>1747</Paragraphs>
  <TotalTime>18</TotalTime>
  <ScaleCrop>false</ScaleCrop>
  <LinksUpToDate>false</LinksUpToDate>
  <CharactersWithSpaces>2108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2023-01-09T03:53:00Z</dcterms:created>
  <dc:creator>COLO</dc:creator>
  <cp:lastModifiedBy>浅唱</cp:lastModifiedBy>
  <cp:lastPrinted>2025-09-28T03:47:00Z</cp:lastPrinted>
  <dcterms:modified xsi:type="dcterms:W3CDTF">2026-03-02T08:12:16Z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9B5C5F0AE77247998AB99E2D219C5AEF</vt:lpwstr>
  </property>
  <property fmtid="{D5CDD505-2E9C-101B-9397-08002B2CF9AE}" pid="4" name="KSOTemplateDocerSaveRecord">
    <vt:lpwstr>eyJoZGlkIjoiY2E1Y2U1Mjg3NzNjNjAxMTQxZGRhNzBiNGM1YjMzZjEiLCJ1c2VySWQiOiI3Mjc5NTUxOTcifQ==</vt:lpwstr>
  </property>
</Properties>
</file>