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242D4">
      <w:pPr>
        <w:jc w:val="center"/>
        <w:rPr>
          <w:rFonts w:hint="default" w:ascii="黑体" w:hAnsi="黑体" w:eastAsia="黑体" w:cs="黑体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DRG系统需求</w:t>
      </w:r>
      <w:bookmarkStart w:id="0" w:name="_GoBack"/>
      <w:bookmarkEnd w:id="0"/>
    </w:p>
    <w:p w14:paraId="2CF75685">
      <w:pPr>
        <w:jc w:val="left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DRG运营分析分析-医保结算管理系统-医保结算清单质控系统-报告报表中心 </w:t>
      </w:r>
    </w:p>
    <w:p w14:paraId="1038ED63">
      <w:pPr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DRG运营分析分析</w:t>
      </w:r>
    </w:p>
    <w:p w14:paraId="6655B28E">
      <w:pPr>
        <w:jc w:val="left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1.科室综合分析-结果分析-运行指标监控-超支结余-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费用构成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-出院带药-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不合理入院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-运行目标监控</w:t>
      </w:r>
    </w:p>
    <w:p w14:paraId="75FC0645">
      <w:pPr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费用构成</w:t>
      </w:r>
    </w:p>
    <w:p w14:paraId="4D2B1855">
      <w:pPr>
        <w:jc w:val="left"/>
        <w:rPr>
          <w:rFonts w:hint="eastAsia" w:ascii="黑体" w:hAnsi="黑体" w:eastAsia="黑体" w:cs="黑体"/>
          <w:b w:val="0"/>
          <w:bCs w:val="0"/>
          <w:color w:val="2773FF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2773FF"/>
          <w:sz w:val="24"/>
          <w:szCs w:val="24"/>
          <w:lang w:val="en-US" w:eastAsia="zh-CN"/>
        </w:rPr>
        <w:t>材料费-药费-检查费-手术费-化验-治疗费-护理费-床位费-诊查费</w:t>
      </w:r>
    </w:p>
    <w:p w14:paraId="11DFC2E3">
      <w:pPr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不合理入院</w:t>
      </w:r>
    </w:p>
    <w:p w14:paraId="13E8891D">
      <w:pPr>
        <w:jc w:val="left"/>
        <w:rPr>
          <w:rFonts w:hint="eastAsia" w:ascii="黑体" w:hAnsi="黑体" w:eastAsia="黑体" w:cs="黑体"/>
          <w:b w:val="0"/>
          <w:bCs w:val="0"/>
          <w:color w:val="2773FF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2773FF"/>
          <w:sz w:val="24"/>
          <w:szCs w:val="24"/>
          <w:lang w:val="en-US" w:eastAsia="zh-CN"/>
        </w:rPr>
        <w:t>体检入院-15天出入院</w:t>
      </w:r>
    </w:p>
    <w:p w14:paraId="516CA237">
      <w:pPr>
        <w:jc w:val="left"/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2.病组综合分析-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运行指标检测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-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超支结余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-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费用构成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-RW区间分布-运行目标监控</w:t>
      </w:r>
    </w:p>
    <w:p w14:paraId="6717DBF9">
      <w:pPr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运行指标检测</w:t>
      </w:r>
    </w:p>
    <w:p w14:paraId="1E4B6E60">
      <w:pPr>
        <w:jc w:val="left"/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病组-病例数-DRG医疗总费用-结余-RW-</w:t>
      </w:r>
      <w:r>
        <w:rPr>
          <w:rFonts w:hint="eastAsia" w:ascii="黑体" w:hAnsi="黑体" w:eastAsia="黑体" w:cs="黑体"/>
          <w:b w:val="0"/>
          <w:bCs w:val="0"/>
          <w:color w:val="FF0000"/>
          <w:sz w:val="24"/>
          <w:szCs w:val="24"/>
          <w:lang w:val="en-US" w:eastAsia="zh-CN"/>
        </w:rPr>
        <w:t>地区病组均费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-药占比-耗占比-检验检查占比-医务性占比-</w:t>
      </w:r>
      <w:r>
        <w:rPr>
          <w:rFonts w:hint="eastAsia" w:ascii="黑体" w:hAnsi="黑体" w:eastAsia="黑体" w:cs="黑体"/>
          <w:b w:val="0"/>
          <w:bCs w:val="0"/>
          <w:color w:val="FF0000"/>
          <w:sz w:val="24"/>
          <w:szCs w:val="24"/>
          <w:lang w:val="en-US" w:eastAsia="zh-CN"/>
        </w:rPr>
        <w:t>时间消耗指数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-费用消耗指数-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>平均住院日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-次均</w:t>
      </w:r>
    </w:p>
    <w:p w14:paraId="0C9DD63C">
      <w:pPr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超支结余</w:t>
      </w:r>
    </w:p>
    <w:p w14:paraId="2E9595AB">
      <w:pPr>
        <w:jc w:val="left"/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病组-RW-病组总权重-病例数-次均结余-结余-超支主因-DRG医疗总费用-结算金额-拨付比-高倍率病例数-占比-高倍率结余-低倍率病例数-占比-低倍率结余</w:t>
      </w:r>
    </w:p>
    <w:p w14:paraId="6FB5488C">
      <w:pPr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费用构成</w:t>
      </w:r>
    </w:p>
    <w:p w14:paraId="22812C70">
      <w:pPr>
        <w:jc w:val="left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>次均-材料费-占比</w:t>
      </w:r>
    </w:p>
    <w:p w14:paraId="3AF2FEA5">
      <w:pPr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运行目标监控</w:t>
      </w:r>
    </w:p>
    <w:p w14:paraId="4887FD87">
      <w:pPr>
        <w:jc w:val="left"/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2773FF"/>
          <w:sz w:val="24"/>
          <w:szCs w:val="24"/>
          <w:lang w:val="en-US" w:eastAsia="zh-CN"/>
        </w:rPr>
        <w:t>次均费用-平均住院日-次均耗材费-次均药品费-次均检查检验费</w:t>
      </w:r>
    </w:p>
    <w:p w14:paraId="4A06017D">
      <w:pPr>
        <w:jc w:val="left"/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3.医疗组综合分析-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超支医疗组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-结余医疗组-环比结余增长-环比结余减少</w:t>
      </w:r>
    </w:p>
    <w:p w14:paraId="3BD6D6C1">
      <w:pPr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超支医疗组</w:t>
      </w:r>
    </w:p>
    <w:p w14:paraId="715247A8">
      <w:pPr>
        <w:jc w:val="left"/>
        <w:rPr>
          <w:rFonts w:hint="eastAsia" w:ascii="黑体" w:hAnsi="黑体" w:eastAsia="黑体" w:cs="黑体"/>
          <w:b w:val="0"/>
          <w:bCs w:val="0"/>
          <w:color w:val="2773FF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医疗组-病例数-结余-CMI-高倍率数-低倍率数-药占比-耗占比-15天出入院人次-人次人头比-时间消耗指数-费用消耗指数-平均住院日-次均-环比变化量-次均结余-</w:t>
      </w:r>
      <w:r>
        <w:rPr>
          <w:rFonts w:hint="eastAsia" w:ascii="黑体" w:hAnsi="黑体" w:eastAsia="黑体" w:cs="黑体"/>
          <w:b w:val="0"/>
          <w:bCs w:val="0"/>
          <w:color w:val="2773FF"/>
          <w:sz w:val="24"/>
          <w:szCs w:val="24"/>
          <w:lang w:val="en-US" w:eastAsia="zh-CN"/>
        </w:rPr>
        <w:t>医保外自付比例</w:t>
      </w:r>
    </w:p>
    <w:p w14:paraId="640EF6C2">
      <w:pPr>
        <w:jc w:val="left"/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4.医生综合分析-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超支医生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-结余医疗组-环比结余增长-环比结余减少-高倍率占比高于全院-低倍率占比高于全院</w:t>
      </w:r>
    </w:p>
    <w:p w14:paraId="1C93B95E">
      <w:pPr>
        <w:jc w:val="left"/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5.事中监测分析-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在院病例监测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-提交前病例监测-已提交病例分析</w:t>
      </w:r>
    </w:p>
    <w:p w14:paraId="13F0723C">
      <w:pPr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在院病例监测</w:t>
      </w:r>
    </w:p>
    <w:p w14:paraId="1751516A">
      <w:pPr>
        <w:jc w:val="left"/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费用预警-</w:t>
      </w:r>
      <w:r>
        <w:rPr>
          <w:rFonts w:hint="eastAsia" w:ascii="黑体" w:hAnsi="黑体" w:eastAsia="黑体" w:cs="黑体"/>
          <w:b w:val="0"/>
          <w:bCs w:val="0"/>
          <w:color w:val="2773FF"/>
          <w:sz w:val="24"/>
          <w:szCs w:val="24"/>
          <w:lang w:val="en-US" w:eastAsia="zh-CN"/>
        </w:rPr>
        <w:t>病例质控问题-不合理入院病例</w:t>
      </w:r>
    </w:p>
    <w:p w14:paraId="12D05DDB">
      <w:pPr>
        <w:jc w:val="left"/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6.专题分析-费用分摊分析-科学发展分析-病例性质分析</w:t>
      </w:r>
    </w:p>
    <w:p w14:paraId="0B15E571">
      <w:pPr>
        <w:jc w:val="left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医保结算清单质控系统</w:t>
      </w:r>
    </w:p>
    <w:p w14:paraId="52169FEE">
      <w:pPr>
        <w:jc w:val="left"/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清单质量分析-问题清单</w:t>
      </w:r>
    </w:p>
    <w:p w14:paraId="1566CB54"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b w:val="0"/>
          <w:bCs w:val="0"/>
          <w:color w:val="2773FF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2773FF"/>
          <w:sz w:val="24"/>
          <w:szCs w:val="24"/>
          <w:lang w:val="en-US" w:eastAsia="zh-CN"/>
        </w:rPr>
        <w:t>主诊断与主手术不匹配2.主要诊断编码过粗3.手术适应症漏填4.疾病与体重冲突5.一般项目逻辑错误6.相关疾病编码错填7.一般必填项未天填8.缺少与诊断对应的手术操作</w:t>
      </w:r>
    </w:p>
    <w:p w14:paraId="74B365EB">
      <w:pPr>
        <w:numPr>
          <w:ilvl w:val="0"/>
          <w:numId w:val="1"/>
        </w:numPr>
        <w:jc w:val="left"/>
        <w:rPr>
          <w:rFonts w:hint="default" w:ascii="黑体" w:hAnsi="黑体" w:eastAsia="黑体" w:cs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清单成就分析-调整前后对比分析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B58A3C"/>
    <w:multiLevelType w:val="singleLevel"/>
    <w:tmpl w:val="1DB58A3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D21ADA"/>
    <w:rsid w:val="638B38F0"/>
    <w:rsid w:val="7453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741</Words>
  <Characters>782</Characters>
  <Lines>0</Lines>
  <Paragraphs>0</Paragraphs>
  <TotalTime>17</TotalTime>
  <ScaleCrop>false</ScaleCrop>
  <LinksUpToDate>false</LinksUpToDate>
  <CharactersWithSpaces>783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2025-06-25T00:28:00Z</dcterms:created>
  <dc:creator>Administrator</dc:creator>
  <cp:lastModifiedBy>mogiwala</cp:lastModifiedBy>
  <dcterms:modified xsi:type="dcterms:W3CDTF">2025-11-02T08:35:59Z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eyJoZGlkIjoiYmM5OTM1ZDZhOTkxZTRiNjdiZGUzOGQyZmM5MzlhN2EiLCJ1c2VySWQiOiI4ODMzMTI1NDIifQ==</vt:lpwstr>
  </property>
  <property fmtid="{D5CDD505-2E9C-101B-9397-08002B2CF9AE}" pid="4" name="ICV">
    <vt:lpwstr>0F451198836B4324A7DF32DC7A4FCFDE_13</vt:lpwstr>
  </property>
</Properties>
</file>